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B5765" w:rsidRPr="000001D0" w:rsidRDefault="00FB5765" w:rsidP="00FB5765">
      <w:pPr>
        <w:pStyle w:val="Titr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Enseignement spécifique</w:t>
      </w:r>
    </w:p>
    <w:p w:rsidR="00FB5765" w:rsidRPr="000001D0" w:rsidRDefault="00FB5765" w:rsidP="00FB5765">
      <w:pPr>
        <w:ind w:left="-567" w:right="-567"/>
        <w:jc w:val="center"/>
        <w:rPr>
          <w:rFonts w:asciiTheme="minorHAnsi" w:hAnsiTheme="minorHAnsi"/>
          <w:sz w:val="22"/>
          <w:szCs w:val="22"/>
        </w:rPr>
      </w:pPr>
      <w:r w:rsidRPr="000001D0">
        <w:rPr>
          <w:rFonts w:asciiTheme="minorHAnsi" w:hAnsiTheme="minorHAnsi"/>
          <w:sz w:val="22"/>
          <w:szCs w:val="22"/>
        </w:rPr>
        <w:t>Temps de préparation : 20 minutes, temps d’interrogation 20 minutes.</w:t>
      </w:r>
    </w:p>
    <w:p w:rsidR="00FB5765" w:rsidRPr="000001D0" w:rsidRDefault="00FB5765" w:rsidP="00FB5765">
      <w:pPr>
        <w:ind w:left="-567" w:right="-567"/>
        <w:jc w:val="center"/>
        <w:rPr>
          <w:rFonts w:asciiTheme="minorHAnsi" w:hAnsiTheme="minorHAnsi"/>
          <w:sz w:val="22"/>
          <w:szCs w:val="22"/>
        </w:rPr>
      </w:pPr>
      <w:r w:rsidRPr="000001D0">
        <w:rPr>
          <w:rFonts w:asciiTheme="minorHAnsi" w:hAnsiTheme="minorHAnsi"/>
          <w:sz w:val="22"/>
          <w:szCs w:val="22"/>
        </w:rPr>
        <w:t>Une importance égale est attribuée à l’évaluation des connaissances et à celle des capacités mises en jeu.</w:t>
      </w:r>
    </w:p>
    <w:p w:rsidR="00FB5765" w:rsidRPr="000001D0" w:rsidRDefault="00FB5765" w:rsidP="00FB5765">
      <w:pPr>
        <w:ind w:left="-567" w:right="-567"/>
        <w:jc w:val="center"/>
        <w:rPr>
          <w:rFonts w:asciiTheme="minorHAnsi" w:hAnsiTheme="minorHAnsi"/>
        </w:rPr>
      </w:pPr>
    </w:p>
    <w:p w:rsidR="00FB5765" w:rsidRPr="000001D0" w:rsidRDefault="00FB5765" w:rsidP="00FB5765">
      <w:pPr>
        <w:ind w:left="-567" w:right="-567"/>
        <w:jc w:val="center"/>
        <w:rPr>
          <w:rFonts w:asciiTheme="minorHAnsi" w:hAnsiTheme="minorHAnsi"/>
          <w:b/>
        </w:rPr>
      </w:pPr>
      <w:r w:rsidRPr="000001D0">
        <w:rPr>
          <w:rFonts w:asciiTheme="minorHAnsi" w:hAnsiTheme="minorHAnsi"/>
          <w:b/>
        </w:rPr>
        <w:t>QUESTION 1</w:t>
      </w:r>
    </w:p>
    <w:p w:rsidR="00FB5765" w:rsidRDefault="00FB5765" w:rsidP="00FB5765">
      <w:pPr>
        <w:pStyle w:val="Titre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Tronc commun</w:t>
      </w:r>
      <w:r w:rsidRPr="000001D0">
        <w:rPr>
          <w:rFonts w:asciiTheme="minorHAnsi" w:hAnsiTheme="minorHAnsi"/>
          <w:sz w:val="24"/>
        </w:rPr>
        <w:t xml:space="preserve"> THEME 1</w:t>
      </w:r>
      <w:r>
        <w:rPr>
          <w:rFonts w:asciiTheme="minorHAnsi" w:hAnsiTheme="minorHAnsi"/>
          <w:sz w:val="24"/>
        </w:rPr>
        <w:t xml:space="preserve"> A-5</w:t>
      </w:r>
      <w:r w:rsidRPr="000001D0">
        <w:rPr>
          <w:rFonts w:asciiTheme="minorHAnsi" w:hAnsiTheme="minorHAnsi"/>
          <w:sz w:val="24"/>
        </w:rPr>
        <w:t xml:space="preserve"> : </w:t>
      </w:r>
      <w:r>
        <w:rPr>
          <w:rFonts w:asciiTheme="minorHAnsi" w:hAnsiTheme="minorHAnsi"/>
          <w:sz w:val="24"/>
        </w:rPr>
        <w:t>Les relations entre organisation et mode de vie, résultat de l’évolution : l’exemple de la vie fixée chez les plantes</w:t>
      </w:r>
    </w:p>
    <w:p w:rsidR="00FE4C85" w:rsidRPr="000001D0" w:rsidRDefault="00FE4C85" w:rsidP="00FB5765">
      <w:pPr>
        <w:pStyle w:val="Titre"/>
        <w:rPr>
          <w:rFonts w:asciiTheme="minorHAnsi" w:hAnsiTheme="minorHAnsi"/>
          <w:b w:val="0"/>
          <w:color w:val="FF0000"/>
          <w:sz w:val="16"/>
        </w:rPr>
      </w:pPr>
    </w:p>
    <w:p w:rsidR="00FB5765" w:rsidRPr="00FD166A" w:rsidRDefault="00FE4C85" w:rsidP="00FD166A">
      <w:pPr>
        <w:jc w:val="both"/>
        <w:rPr>
          <w:rFonts w:ascii="Calibri" w:hAnsi="Calibri"/>
          <w:noProof/>
          <w:sz w:val="22"/>
          <w:szCs w:val="22"/>
        </w:rPr>
      </w:pPr>
      <w:r w:rsidRPr="00FE4C85">
        <w:rPr>
          <w:rFonts w:ascii="Calibri" w:hAnsi="Calibri"/>
          <w:noProof/>
          <w:sz w:val="22"/>
          <w:szCs w:val="22"/>
        </w:rPr>
        <w:t>Face aux contraintes, les palétuviers</w:t>
      </w:r>
      <w:r>
        <w:rPr>
          <w:rFonts w:ascii="Calibri" w:hAnsi="Calibri"/>
          <w:noProof/>
          <w:sz w:val="22"/>
          <w:szCs w:val="22"/>
        </w:rPr>
        <w:t>,</w:t>
      </w:r>
      <w:r w:rsidRPr="00FE4C85">
        <w:rPr>
          <w:rFonts w:ascii="Calibri" w:hAnsi="Calibri"/>
          <w:noProof/>
          <w:sz w:val="22"/>
          <w:szCs w:val="22"/>
        </w:rPr>
        <w:t xml:space="preserve"> </w:t>
      </w:r>
      <w:r w:rsidRPr="00FE4C85">
        <w:rPr>
          <w:rFonts w:asciiTheme="minorHAnsi" w:hAnsiTheme="minorHAnsi"/>
          <w:sz w:val="22"/>
          <w:szCs w:val="22"/>
        </w:rPr>
        <w:t>végétaux emblématiques de la mangrove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r w:rsidRPr="00FE4C85">
        <w:rPr>
          <w:rFonts w:ascii="Calibri" w:hAnsi="Calibri"/>
          <w:noProof/>
          <w:sz w:val="22"/>
          <w:szCs w:val="22"/>
        </w:rPr>
        <w:t>ont développé certaines adaptations</w:t>
      </w:r>
      <w:r w:rsidR="00662B75">
        <w:rPr>
          <w:rFonts w:ascii="Calibri" w:hAnsi="Calibri"/>
          <w:noProof/>
          <w:sz w:val="22"/>
          <w:szCs w:val="22"/>
        </w:rPr>
        <w:t xml:space="preserve"> y compris en termes de reproduction</w:t>
      </w:r>
      <w:r w:rsidRPr="00FE4C85">
        <w:rPr>
          <w:rFonts w:ascii="Calibri" w:hAnsi="Calibri"/>
          <w:noProof/>
          <w:sz w:val="22"/>
          <w:szCs w:val="22"/>
        </w:rPr>
        <w:t>.</w:t>
      </w:r>
    </w:p>
    <w:tbl>
      <w:tblPr>
        <w:tblW w:w="108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00"/>
      </w:tblGrid>
      <w:tr w:rsidR="00FB5765" w:rsidRPr="000001D0">
        <w:tc>
          <w:tcPr>
            <w:tcW w:w="10800" w:type="dxa"/>
          </w:tcPr>
          <w:p w:rsidR="00FB5765" w:rsidRPr="000001D0" w:rsidRDefault="00FB5765" w:rsidP="00662B75">
            <w:pPr>
              <w:pStyle w:val="Corpsdetexte2"/>
              <w:ind w:right="290"/>
              <w:rPr>
                <w:rFonts w:asciiTheme="minorHAnsi" w:hAnsiTheme="minorHAnsi"/>
                <w:sz w:val="24"/>
              </w:rPr>
            </w:pPr>
            <w:r w:rsidRPr="000001D0">
              <w:rPr>
                <w:rFonts w:asciiTheme="minorHAnsi" w:hAnsiTheme="minorHAnsi"/>
                <w:sz w:val="24"/>
              </w:rPr>
              <w:t>A partir de l</w:t>
            </w:r>
            <w:r>
              <w:rPr>
                <w:rFonts w:asciiTheme="minorHAnsi" w:hAnsiTheme="minorHAnsi"/>
                <w:sz w:val="24"/>
              </w:rPr>
              <w:t>’</w:t>
            </w:r>
            <w:r w:rsidRPr="000001D0">
              <w:rPr>
                <w:rFonts w:asciiTheme="minorHAnsi" w:hAnsiTheme="minorHAnsi"/>
                <w:sz w:val="24"/>
              </w:rPr>
              <w:t xml:space="preserve">exploitation des documents et de vos connaissances, </w:t>
            </w:r>
            <w:r w:rsidR="00662B75">
              <w:rPr>
                <w:rFonts w:asciiTheme="minorHAnsi" w:hAnsiTheme="minorHAnsi"/>
                <w:sz w:val="24"/>
              </w:rPr>
              <w:t>Expliquez le mode de reproduction des palétuviers (pollinisation et dissémination).</w:t>
            </w:r>
          </w:p>
        </w:tc>
      </w:tr>
    </w:tbl>
    <w:p w:rsidR="00FD166A" w:rsidRDefault="00FD166A" w:rsidP="00FD166A">
      <w:pPr>
        <w:rPr>
          <w:rFonts w:ascii="Calibri" w:hAnsi="Calibri"/>
          <w:noProof/>
          <w:sz w:val="22"/>
          <w:szCs w:val="22"/>
        </w:rPr>
      </w:pPr>
    </w:p>
    <w:p w:rsidR="00FD166A" w:rsidRPr="00FD166A" w:rsidRDefault="00FD166A" w:rsidP="00FD166A">
      <w:pPr>
        <w:rPr>
          <w:rFonts w:ascii="Calibri" w:hAnsi="Calibri"/>
          <w:b/>
          <w:noProof/>
          <w:sz w:val="20"/>
          <w:szCs w:val="20"/>
          <w:u w:val="single"/>
        </w:rPr>
      </w:pPr>
      <w:r>
        <w:rPr>
          <w:rFonts w:ascii="Calibri" w:hAnsi="Calibri"/>
          <w:noProof/>
          <w:sz w:val="22"/>
          <w:szCs w:val="22"/>
        </w:rPr>
        <w:t xml:space="preserve">Aux branches des Rhizophoras  </w:t>
      </w:r>
      <w:r w:rsidRPr="00FD166A">
        <w:rPr>
          <w:rFonts w:ascii="Calibri" w:hAnsi="Calibri"/>
          <w:noProof/>
          <w:sz w:val="22"/>
          <w:szCs w:val="22"/>
        </w:rPr>
        <w:t>(Nom d’une espèce de palétuvier)</w:t>
      </w:r>
      <w:r>
        <w:rPr>
          <w:rFonts w:ascii="Calibri" w:hAnsi="Calibri"/>
          <w:noProof/>
          <w:sz w:val="20"/>
          <w:szCs w:val="20"/>
        </w:rPr>
        <w:t xml:space="preserve">, </w:t>
      </w:r>
      <w:r>
        <w:rPr>
          <w:rFonts w:ascii="Calibri" w:hAnsi="Calibri"/>
          <w:noProof/>
          <w:sz w:val="22"/>
          <w:szCs w:val="22"/>
        </w:rPr>
        <w:t>pendent veticalement d’inombrables plantules issues du développement de l’embryon dans le fruit</w:t>
      </w:r>
      <w:r w:rsidRPr="00FE4C85">
        <w:rPr>
          <w:rFonts w:ascii="Calibri" w:hAnsi="Calibri"/>
          <w:noProof/>
          <w:sz w:val="22"/>
          <w:szCs w:val="22"/>
        </w:rPr>
        <w:t>.</w:t>
      </w:r>
      <w:r>
        <w:rPr>
          <w:rFonts w:ascii="Calibri" w:hAnsi="Calibri"/>
          <w:noProof/>
          <w:sz w:val="22"/>
          <w:szCs w:val="22"/>
        </w:rPr>
        <w:t xml:space="preserve"> A maturi</w:t>
      </w:r>
      <w:r w:rsidR="008C12DB">
        <w:rPr>
          <w:rFonts w:ascii="Calibri" w:hAnsi="Calibri"/>
          <w:noProof/>
          <w:sz w:val="22"/>
          <w:szCs w:val="22"/>
        </w:rPr>
        <w:t>té, le pédoncule se rompt et le</w:t>
      </w:r>
      <w:r>
        <w:rPr>
          <w:rFonts w:ascii="Calibri" w:hAnsi="Calibri"/>
          <w:noProof/>
          <w:sz w:val="22"/>
          <w:szCs w:val="22"/>
        </w:rPr>
        <w:t>s</w:t>
      </w:r>
      <w:r w:rsidR="008C12DB">
        <w:rPr>
          <w:rFonts w:ascii="Calibri" w:hAnsi="Calibri"/>
          <w:noProof/>
          <w:sz w:val="22"/>
          <w:szCs w:val="22"/>
        </w:rPr>
        <w:t xml:space="preserve"> </w:t>
      </w:r>
      <w:r>
        <w:rPr>
          <w:rFonts w:ascii="Calibri" w:hAnsi="Calibri"/>
          <w:noProof/>
          <w:sz w:val="22"/>
          <w:szCs w:val="22"/>
        </w:rPr>
        <w:t xml:space="preserve">plantules tombent </w:t>
      </w:r>
      <w:r w:rsidR="008C12DB">
        <w:rPr>
          <w:rFonts w:ascii="Calibri" w:hAnsi="Calibri"/>
          <w:noProof/>
          <w:sz w:val="22"/>
          <w:szCs w:val="22"/>
        </w:rPr>
        <w:t xml:space="preserve">et peuvent se planter </w:t>
      </w:r>
      <w:r>
        <w:rPr>
          <w:rFonts w:ascii="Calibri" w:hAnsi="Calibri"/>
          <w:noProof/>
          <w:sz w:val="22"/>
          <w:szCs w:val="22"/>
        </w:rPr>
        <w:t xml:space="preserve">comme des harpons dans la vase. </w:t>
      </w:r>
      <w:r w:rsidR="008C12DB">
        <w:rPr>
          <w:rFonts w:ascii="Calibri" w:hAnsi="Calibri"/>
          <w:noProof/>
          <w:sz w:val="22"/>
          <w:szCs w:val="22"/>
        </w:rPr>
        <w:t>C</w:t>
      </w:r>
      <w:r>
        <w:rPr>
          <w:rFonts w:ascii="Calibri" w:hAnsi="Calibri"/>
          <w:noProof/>
          <w:sz w:val="22"/>
          <w:szCs w:val="22"/>
        </w:rPr>
        <w:t>e mode de</w:t>
      </w:r>
      <w:r w:rsidR="008C12DB">
        <w:rPr>
          <w:rFonts w:ascii="Calibri" w:hAnsi="Calibri"/>
          <w:noProof/>
          <w:sz w:val="22"/>
          <w:szCs w:val="22"/>
        </w:rPr>
        <w:t xml:space="preserve"> reproduction est un exemple de « vivipar</w:t>
      </w:r>
      <w:r>
        <w:rPr>
          <w:rFonts w:ascii="Calibri" w:hAnsi="Calibri"/>
          <w:noProof/>
          <w:sz w:val="22"/>
          <w:szCs w:val="22"/>
        </w:rPr>
        <w:t>ité</w:t>
      </w:r>
      <w:r w:rsidR="008C12DB">
        <w:rPr>
          <w:rFonts w:ascii="Calibri" w:hAnsi="Calibri"/>
          <w:noProof/>
          <w:sz w:val="22"/>
          <w:szCs w:val="22"/>
        </w:rPr>
        <w:t> »</w:t>
      </w:r>
      <w:r>
        <w:rPr>
          <w:rFonts w:ascii="Calibri" w:hAnsi="Calibri"/>
          <w:noProof/>
          <w:sz w:val="22"/>
          <w:szCs w:val="22"/>
        </w:rPr>
        <w:t>.</w:t>
      </w:r>
    </w:p>
    <w:p w:rsidR="00FD166A" w:rsidRDefault="006478BC" w:rsidP="00FD166A">
      <w:pPr>
        <w:jc w:val="both"/>
        <w:rPr>
          <w:rFonts w:ascii="Calibri" w:hAnsi="Calibri"/>
          <w:noProof/>
          <w:sz w:val="22"/>
          <w:szCs w:val="22"/>
        </w:rPr>
      </w:pPr>
      <w:r w:rsidRPr="006478BC">
        <w:rPr>
          <w:rFonts w:ascii="Calibri" w:hAnsi="Calibri"/>
          <w:b/>
          <w:noProof/>
          <w:sz w:val="20"/>
          <w:szCs w:val="20"/>
          <w:u w:val="singl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left:0;text-align:left;margin-left:-3.35pt;margin-top:5.95pt;width:219.75pt;height:214.3pt;z-index:251660288">
            <v:textbox style="mso-next-textbox:#_x0000_s1031">
              <w:txbxContent>
                <w:p w:rsidR="00FE4C85" w:rsidRDefault="00662B75">
                  <w:r>
                    <w:rPr>
                      <w:noProof/>
                    </w:rPr>
                    <w:drawing>
                      <wp:inline distT="0" distB="0" distL="0" distR="0">
                        <wp:extent cx="2628900" cy="2101596"/>
                        <wp:effectExtent l="19050" t="0" r="0" b="0"/>
                        <wp:docPr id="5" name="Image 4" descr="SCAN PALETUV REPR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AN PALETUV REPROD.jpg"/>
                                <pic:cNvPicPr/>
                              </pic:nvPicPr>
                              <pic:blipFill>
                                <a:blip r:embed="rId7"/>
                                <a:srcRect l="4735" r="52652" b="287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3189" cy="2105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478BC">
        <w:rPr>
          <w:rFonts w:ascii="Calibri" w:hAnsi="Calibri"/>
          <w:b/>
          <w:noProof/>
          <w:sz w:val="20"/>
          <w:szCs w:val="20"/>
          <w:u w:val="single"/>
        </w:rPr>
        <w:pict>
          <v:shape id="_x0000_s1034" type="#_x0000_t202" style="position:absolute;left:0;text-align:left;margin-left:227.65pt;margin-top:5.95pt;width:273pt;height:214.3pt;z-index:251662336">
            <v:textbox>
              <w:txbxContent>
                <w:p w:rsidR="00FD166A" w:rsidRDefault="00FD166A">
                  <w:r>
                    <w:rPr>
                      <w:noProof/>
                    </w:rPr>
                    <w:drawing>
                      <wp:inline distT="0" distB="0" distL="0" distR="0">
                        <wp:extent cx="2400300" cy="2611892"/>
                        <wp:effectExtent l="19050" t="0" r="0" b="0"/>
                        <wp:docPr id="6" name="Image 5" descr="SCAN PALETUV REPR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AN PALETUV REPROD.jpg"/>
                                <pic:cNvPicPr/>
                              </pic:nvPicPr>
                              <pic:blipFill>
                                <a:blip r:embed="rId7"/>
                                <a:srcRect l="54109" t="19905" b="71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2495" cy="2614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478BC">
        <w:rPr>
          <w:rFonts w:ascii="Calibri" w:hAnsi="Calibri"/>
          <w:b/>
          <w:noProof/>
          <w:sz w:val="20"/>
          <w:szCs w:val="20"/>
          <w:u w:val="single"/>
        </w:rPr>
        <w:pict>
          <v:shape id="_x0000_s1035" type="#_x0000_t202" style="position:absolute;left:0;text-align:left;margin-left:423.4pt;margin-top:11.25pt;width:71.25pt;height:62.35pt;z-index:251663360">
            <v:textbox>
              <w:txbxContent>
                <w:p w:rsidR="00FD166A" w:rsidRDefault="00FD166A" w:rsidP="00FD166A">
                  <w:pPr>
                    <w:jc w:val="center"/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>D</w:t>
                  </w:r>
                  <w:r w:rsidRPr="00332A14"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>ocument 2</w:t>
                  </w:r>
                  <w:r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> </w:t>
                  </w:r>
                  <w:r w:rsidRPr="00332A14"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>:</w:t>
                  </w:r>
                  <w:r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 xml:space="preserve"> Fruit et plantule de Rhizophora : </w:t>
                  </w:r>
                </w:p>
                <w:p w:rsidR="00FD166A" w:rsidRDefault="00FD166A"/>
              </w:txbxContent>
            </v:textbox>
          </v:shape>
        </w:pict>
      </w: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6478BC" w:rsidP="00FD166A">
      <w:pPr>
        <w:jc w:val="both"/>
        <w:rPr>
          <w:rFonts w:ascii="Calibri" w:hAnsi="Calibri"/>
          <w:noProof/>
          <w:sz w:val="22"/>
          <w:szCs w:val="22"/>
        </w:rPr>
      </w:pPr>
      <w:r w:rsidRPr="006478BC">
        <w:rPr>
          <w:rFonts w:ascii="Calibri" w:hAnsi="Calibri"/>
          <w:b/>
          <w:noProof/>
          <w:sz w:val="20"/>
          <w:szCs w:val="20"/>
          <w:u w:val="single"/>
        </w:rPr>
        <w:pict>
          <v:shape id="_x0000_s1032" type="#_x0000_t202" style="position:absolute;left:0;text-align:left;margin-left:-3.35pt;margin-top:12.6pt;width:211.5pt;height:46.5pt;z-index:251661312" strokecolor="black [3213]">
            <v:textbox style="mso-next-textbox:#_x0000_s1032">
              <w:txbxContent>
                <w:p w:rsidR="00662B75" w:rsidRDefault="00662B75" w:rsidP="00662B75">
                  <w:pPr>
                    <w:jc w:val="center"/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>D</w:t>
                  </w:r>
                  <w:r w:rsidR="00FD166A"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>ocument 1</w:t>
                  </w:r>
                  <w:r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> </w:t>
                  </w:r>
                  <w:r w:rsidRPr="00332A14"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>:</w:t>
                  </w:r>
                  <w:r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 xml:space="preserve"> Inflorescence de Rhizophora : boutons floraux, fleur munie de pétales</w:t>
                  </w:r>
                  <w:r w:rsidR="00FD166A"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 xml:space="preserve"> plumeux</w:t>
                  </w:r>
                  <w:r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 xml:space="preserve"> </w:t>
                  </w:r>
                  <w:r w:rsidR="00E13B09"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>et fleurs fécondées</w:t>
                  </w:r>
                </w:p>
                <w:p w:rsidR="00FE4C85" w:rsidRDefault="00FE4C85"/>
              </w:txbxContent>
            </v:textbox>
          </v:shape>
        </w:pict>
      </w: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6478BC" w:rsidP="00FD166A">
      <w:pPr>
        <w:jc w:val="both"/>
        <w:rPr>
          <w:rFonts w:ascii="Calibri" w:hAnsi="Calibri"/>
          <w:noProof/>
          <w:sz w:val="22"/>
          <w:szCs w:val="22"/>
        </w:rPr>
      </w:pPr>
      <w:r w:rsidRPr="006478BC">
        <w:rPr>
          <w:noProof/>
        </w:rPr>
        <w:pict>
          <v:shape id="_x0000_s1029" type="#_x0000_t202" style="position:absolute;left:0;text-align:left;margin-left:-3.35pt;margin-top:12.9pt;width:498pt;height:261.75pt;z-index:251658240">
            <v:textbox style="mso-next-textbox:#_x0000_s1029">
              <w:txbxContent>
                <w:p w:rsidR="00FE4C85" w:rsidRDefault="00D142A5">
                  <w:r>
                    <w:rPr>
                      <w:noProof/>
                    </w:rPr>
                    <w:drawing>
                      <wp:inline distT="0" distB="0" distL="0" distR="0">
                        <wp:extent cx="6143625" cy="3219450"/>
                        <wp:effectExtent l="19050" t="0" r="9525" b="0"/>
                        <wp:docPr id="2" name="Image 1" descr="cycle reprod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ycle reprod 2.jpg"/>
                                <pic:cNvPicPr/>
                              </pic:nvPicPr>
                              <pic:blipFill>
                                <a:blip r:embed="rId8"/>
                                <a:srcRect l="3091" r="15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43625" cy="3219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D166A" w:rsidRDefault="006478BC" w:rsidP="00FD166A">
      <w:pPr>
        <w:jc w:val="both"/>
        <w:rPr>
          <w:rFonts w:ascii="Calibri" w:hAnsi="Calibri"/>
          <w:noProof/>
          <w:sz w:val="22"/>
          <w:szCs w:val="22"/>
        </w:rPr>
      </w:pPr>
      <w:r w:rsidRPr="006478BC">
        <w:rPr>
          <w:noProof/>
        </w:rPr>
        <w:pict>
          <v:shape id="_x0000_s1030" type="#_x0000_t202" style="position:absolute;left:0;text-align:left;margin-left:20.65pt;margin-top:12.95pt;width:178.5pt;height:30.75pt;z-index:251659264" strokecolor="black [3213]">
            <v:textbox style="mso-next-textbox:#_x0000_s1030">
              <w:txbxContent>
                <w:p w:rsidR="00FE4C85" w:rsidRDefault="00FD166A" w:rsidP="00FE4C85">
                  <w:pPr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>Document 3</w:t>
                  </w:r>
                  <w:r w:rsidR="00FE4C85"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> </w:t>
                  </w:r>
                  <w:r w:rsidR="00FE4C85" w:rsidRPr="00332A14"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 xml:space="preserve">: </w:t>
                  </w:r>
                </w:p>
                <w:p w:rsidR="00FE4C85" w:rsidRDefault="00662B75" w:rsidP="00FE4C85">
                  <w:pPr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 xml:space="preserve">La  viviparité chez </w:t>
                  </w:r>
                  <w:r w:rsidR="00E35695">
                    <w:rPr>
                      <w:rFonts w:ascii="Calibri" w:hAnsi="Calibri"/>
                      <w:b/>
                      <w:noProof/>
                      <w:sz w:val="20"/>
                      <w:szCs w:val="20"/>
                      <w:u w:val="single"/>
                    </w:rPr>
                    <w:t xml:space="preserve">Rhizophora </w:t>
                  </w:r>
                </w:p>
                <w:p w:rsidR="00FE4C85" w:rsidRDefault="00FE4C85"/>
              </w:txbxContent>
            </v:textbox>
          </v:shape>
        </w:pict>
      </w: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Pr="00FE4C85" w:rsidRDefault="00FD166A" w:rsidP="00FD166A">
      <w:pPr>
        <w:jc w:val="both"/>
        <w:rPr>
          <w:rFonts w:ascii="Calibri" w:hAnsi="Calibri"/>
          <w:noProof/>
          <w:sz w:val="22"/>
          <w:szCs w:val="22"/>
        </w:rPr>
      </w:pPr>
    </w:p>
    <w:p w:rsidR="00FD166A" w:rsidRDefault="00FD166A" w:rsidP="009A0B43">
      <w:pPr>
        <w:jc w:val="both"/>
        <w:rPr>
          <w:rFonts w:ascii="Calibri" w:hAnsi="Calibri"/>
          <w:b/>
          <w:noProof/>
          <w:sz w:val="20"/>
          <w:szCs w:val="20"/>
        </w:rPr>
      </w:pPr>
    </w:p>
    <w:p w:rsidR="009A0B43" w:rsidRDefault="009A0B43" w:rsidP="00FD166A">
      <w:pPr>
        <w:jc w:val="both"/>
        <w:rPr>
          <w:noProof/>
        </w:rPr>
      </w:pPr>
    </w:p>
    <w:p w:rsidR="009A0B43" w:rsidRDefault="009A0B43" w:rsidP="00FB5765">
      <w:pPr>
        <w:jc w:val="center"/>
        <w:rPr>
          <w:noProof/>
        </w:rPr>
      </w:pPr>
    </w:p>
    <w:p w:rsidR="009A0B43" w:rsidRDefault="009A0B43" w:rsidP="00FB5765">
      <w:pPr>
        <w:jc w:val="center"/>
        <w:rPr>
          <w:noProof/>
        </w:rPr>
      </w:pPr>
    </w:p>
    <w:p w:rsidR="009A0B43" w:rsidRDefault="009A0B43" w:rsidP="00FB5765">
      <w:pPr>
        <w:jc w:val="center"/>
        <w:rPr>
          <w:noProof/>
        </w:rPr>
      </w:pPr>
    </w:p>
    <w:p w:rsidR="009A0B43" w:rsidRDefault="009A0B43" w:rsidP="00FB5765">
      <w:pPr>
        <w:jc w:val="center"/>
        <w:rPr>
          <w:noProof/>
        </w:rPr>
      </w:pPr>
    </w:p>
    <w:p w:rsidR="009A0B43" w:rsidRDefault="009A0B43" w:rsidP="00FB5765">
      <w:pPr>
        <w:jc w:val="center"/>
        <w:rPr>
          <w:noProof/>
        </w:rPr>
      </w:pPr>
    </w:p>
    <w:p w:rsidR="009A0B43" w:rsidRDefault="009A0B43" w:rsidP="00FB5765">
      <w:pPr>
        <w:jc w:val="center"/>
        <w:rPr>
          <w:noProof/>
        </w:rPr>
      </w:pPr>
    </w:p>
    <w:p w:rsidR="009A0B43" w:rsidRDefault="009A0B43" w:rsidP="00FB5765">
      <w:pPr>
        <w:jc w:val="center"/>
        <w:rPr>
          <w:noProof/>
        </w:rPr>
      </w:pPr>
    </w:p>
    <w:p w:rsidR="00FE4C85" w:rsidRDefault="00FE4C85" w:rsidP="00FB5765">
      <w:pPr>
        <w:jc w:val="center"/>
        <w:rPr>
          <w:noProof/>
        </w:rPr>
      </w:pPr>
    </w:p>
    <w:p w:rsidR="00FE4C85" w:rsidRDefault="00FE4C85" w:rsidP="00FB5765">
      <w:pPr>
        <w:jc w:val="center"/>
        <w:rPr>
          <w:noProof/>
        </w:rPr>
      </w:pPr>
    </w:p>
    <w:p w:rsidR="00FE4C85" w:rsidRDefault="00FE4C85" w:rsidP="00FB5765">
      <w:pPr>
        <w:jc w:val="center"/>
        <w:rPr>
          <w:noProof/>
        </w:rPr>
      </w:pPr>
    </w:p>
    <w:p w:rsidR="00FE4C85" w:rsidRDefault="00FE4C85" w:rsidP="00FB5765">
      <w:pPr>
        <w:jc w:val="center"/>
        <w:rPr>
          <w:noProof/>
        </w:rPr>
      </w:pPr>
    </w:p>
    <w:p w:rsidR="00FB5765" w:rsidRPr="000001D0" w:rsidRDefault="00FB5765" w:rsidP="00FB5765">
      <w:pPr>
        <w:ind w:left="-567" w:right="-567"/>
        <w:jc w:val="center"/>
        <w:rPr>
          <w:rFonts w:asciiTheme="minorHAnsi" w:hAnsiTheme="minorHAnsi"/>
          <w:b/>
          <w:sz w:val="22"/>
          <w:szCs w:val="22"/>
        </w:rPr>
      </w:pPr>
      <w:r w:rsidRPr="000001D0">
        <w:rPr>
          <w:rFonts w:asciiTheme="minorHAnsi" w:hAnsiTheme="minorHAnsi"/>
          <w:b/>
          <w:sz w:val="22"/>
          <w:szCs w:val="22"/>
        </w:rPr>
        <w:t xml:space="preserve">QUESTION 2 </w:t>
      </w:r>
    </w:p>
    <w:p w:rsidR="00FB5765" w:rsidRPr="000001D0" w:rsidRDefault="00FB5765" w:rsidP="00FB5765">
      <w:pPr>
        <w:ind w:left="-567" w:right="-567"/>
        <w:jc w:val="center"/>
        <w:rPr>
          <w:rFonts w:asciiTheme="minorHAnsi" w:hAnsiTheme="minorHAnsi"/>
          <w:b/>
          <w:sz w:val="22"/>
          <w:szCs w:val="22"/>
        </w:rPr>
      </w:pPr>
      <w:r w:rsidRPr="000001D0">
        <w:rPr>
          <w:rFonts w:asciiTheme="minorHAnsi" w:hAnsiTheme="minorHAnsi"/>
          <w:b/>
          <w:sz w:val="22"/>
          <w:szCs w:val="22"/>
        </w:rPr>
        <w:t>THEME</w:t>
      </w:r>
      <w:r>
        <w:rPr>
          <w:rFonts w:asciiTheme="minorHAnsi" w:hAnsiTheme="minorHAnsi"/>
          <w:b/>
          <w:sz w:val="22"/>
          <w:szCs w:val="22"/>
        </w:rPr>
        <w:t> </w:t>
      </w:r>
      <w:r w:rsidRPr="000001D0">
        <w:rPr>
          <w:rFonts w:asciiTheme="minorHAnsi" w:hAnsiTheme="minorHAnsi"/>
          <w:b/>
          <w:sz w:val="22"/>
          <w:szCs w:val="22"/>
        </w:rPr>
        <w:t>: génétique, diversification et évolution du vivant</w:t>
      </w:r>
    </w:p>
    <w:p w:rsidR="00FB5765" w:rsidRPr="000001D0" w:rsidRDefault="00FB5765" w:rsidP="00FB5765">
      <w:pPr>
        <w:ind w:left="-567" w:right="-567"/>
        <w:jc w:val="center"/>
        <w:rPr>
          <w:rFonts w:asciiTheme="minorHAnsi" w:hAnsiTheme="minorHAnsi"/>
          <w:b/>
          <w:sz w:val="22"/>
          <w:szCs w:val="22"/>
        </w:rPr>
      </w:pPr>
      <w:r w:rsidRPr="000001D0">
        <w:rPr>
          <w:rFonts w:asciiTheme="minorHAnsi" w:hAnsiTheme="minorHAnsi"/>
          <w:b/>
          <w:sz w:val="22"/>
          <w:szCs w:val="22"/>
        </w:rPr>
        <w:t>DOMAINE</w:t>
      </w:r>
      <w:r>
        <w:rPr>
          <w:rFonts w:asciiTheme="minorHAnsi" w:hAnsiTheme="minorHAnsi"/>
          <w:b/>
          <w:sz w:val="22"/>
          <w:szCs w:val="22"/>
        </w:rPr>
        <w:t> </w:t>
      </w:r>
      <w:r w:rsidRPr="000001D0">
        <w:rPr>
          <w:rFonts w:asciiTheme="minorHAnsi" w:hAnsiTheme="minorHAnsi"/>
          <w:b/>
          <w:sz w:val="22"/>
          <w:szCs w:val="22"/>
        </w:rPr>
        <w:t>: un regard sur l’évolution de l’Homme</w:t>
      </w:r>
    </w:p>
    <w:p w:rsidR="00FB5765" w:rsidRPr="000001D0" w:rsidRDefault="00FB5765" w:rsidP="00FB5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7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Avec vos connaissances, i</w:t>
      </w:r>
      <w:r w:rsidRPr="000001D0">
        <w:rPr>
          <w:rFonts w:asciiTheme="minorHAnsi" w:hAnsiTheme="minorHAnsi"/>
          <w:b/>
          <w:sz w:val="22"/>
          <w:szCs w:val="22"/>
        </w:rPr>
        <w:t>ndiquez par quelles caractéristiques le genre Homo peut-il être différencié des autres primates</w:t>
      </w:r>
    </w:p>
    <w:p w:rsidR="00FB5765" w:rsidRDefault="00FB5765" w:rsidP="00FB5765">
      <w:pPr>
        <w:ind w:left="-567" w:right="-567"/>
        <w:jc w:val="center"/>
        <w:rPr>
          <w:b/>
          <w:u w:val="single"/>
        </w:rPr>
      </w:pPr>
      <w:r w:rsidRPr="002D570C">
        <w:rPr>
          <w:b/>
          <w:u w:val="single"/>
        </w:rPr>
        <w:t>CORRIGE</w:t>
      </w:r>
    </w:p>
    <w:p w:rsidR="00FB5765" w:rsidRDefault="00FB5765" w:rsidP="00FB5765">
      <w:pPr>
        <w:jc w:val="center"/>
        <w:rPr>
          <w:b/>
          <w:u w:val="single"/>
        </w:rPr>
      </w:pPr>
      <w:r>
        <w:rPr>
          <w:b/>
          <w:u w:val="single"/>
        </w:rPr>
        <w:t>Question 1</w:t>
      </w:r>
    </w:p>
    <w:p w:rsidR="00FB5765" w:rsidRDefault="00FB5765" w:rsidP="00FB5765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505"/>
      </w:tblGrid>
      <w:tr w:rsidR="00FB5765" w:rsidRPr="00BE24B6">
        <w:tc>
          <w:tcPr>
            <w:tcW w:w="1809" w:type="dxa"/>
          </w:tcPr>
          <w:p w:rsidR="00FB5765" w:rsidRPr="00BE24B6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BE24B6">
              <w:rPr>
                <w:rFonts w:asciiTheme="minorHAnsi" w:hAnsiTheme="minorHAnsi"/>
                <w:sz w:val="22"/>
                <w:szCs w:val="22"/>
              </w:rPr>
              <w:t>Données</w:t>
            </w:r>
          </w:p>
        </w:tc>
        <w:tc>
          <w:tcPr>
            <w:tcW w:w="8505" w:type="dxa"/>
          </w:tcPr>
          <w:p w:rsidR="00E80F2E" w:rsidRDefault="00FB5765" w:rsidP="00E80F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Doc 1 </w:t>
            </w:r>
            <w:r w:rsidR="00E13B09">
              <w:rPr>
                <w:rFonts w:asciiTheme="minorHAnsi" w:hAnsiTheme="minorHAnsi"/>
                <w:sz w:val="22"/>
                <w:szCs w:val="22"/>
              </w:rPr>
              <w:t>et 2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E80F2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13B09">
              <w:rPr>
                <w:rFonts w:asciiTheme="minorHAnsi" w:hAnsiTheme="minorHAnsi"/>
                <w:sz w:val="22"/>
                <w:szCs w:val="22"/>
              </w:rPr>
              <w:t>Transformation de la fleur en fruit ave</w:t>
            </w:r>
            <w:r w:rsidR="00F351D6">
              <w:rPr>
                <w:rFonts w:asciiTheme="minorHAnsi" w:hAnsiTheme="minorHAnsi"/>
                <w:sz w:val="22"/>
                <w:szCs w:val="22"/>
              </w:rPr>
              <w:t>c</w:t>
            </w:r>
            <w:r w:rsidR="00E13B09">
              <w:rPr>
                <w:rFonts w:asciiTheme="minorHAnsi" w:hAnsiTheme="minorHAnsi"/>
                <w:sz w:val="22"/>
                <w:szCs w:val="22"/>
              </w:rPr>
              <w:t xml:space="preserve"> perte des pétales et des étamines. </w:t>
            </w:r>
          </w:p>
          <w:p w:rsidR="00FB5765" w:rsidRDefault="00E13B09" w:rsidP="00E80F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Transformation  de l’ovaire en embryon (ou</w:t>
            </w:r>
            <w:r w:rsidR="00F351D6">
              <w:rPr>
                <w:rFonts w:asciiTheme="minorHAnsi" w:hAnsiTheme="minorHAnsi"/>
                <w:sz w:val="22"/>
                <w:szCs w:val="22"/>
              </w:rPr>
              <w:t xml:space="preserve"> graine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F351D6">
              <w:rPr>
                <w:rFonts w:asciiTheme="minorHAnsi" w:hAnsiTheme="minorHAnsi"/>
                <w:sz w:val="22"/>
                <w:szCs w:val="22"/>
              </w:rPr>
              <w:t xml:space="preserve"> et plantule sur l’arbre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13B09" w:rsidRDefault="00E13B09" w:rsidP="00E80F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Doc 3 : </w:t>
            </w:r>
            <w:r w:rsidR="00F351D6">
              <w:rPr>
                <w:rFonts w:asciiTheme="minorHAnsi" w:hAnsiTheme="minorHAnsi"/>
                <w:sz w:val="22"/>
                <w:szCs w:val="22"/>
              </w:rPr>
              <w:t>L’ovaire, après fécondation,  grossit et forme un fruit verdâtre. Une seule graine germe dans le fruit et donne une plantule.</w:t>
            </w:r>
          </w:p>
          <w:p w:rsidR="00F351D6" w:rsidRPr="00BE24B6" w:rsidRDefault="00F351D6" w:rsidP="00E80F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 y a dispersion de la graine grâce à la chute du fruit et à sont transport par l’eau.</w:t>
            </w:r>
          </w:p>
        </w:tc>
      </w:tr>
      <w:tr w:rsidR="00FB5765" w:rsidRPr="00BE24B6">
        <w:tc>
          <w:tcPr>
            <w:tcW w:w="1809" w:type="dxa"/>
          </w:tcPr>
          <w:p w:rsidR="00FB5765" w:rsidRPr="00BE24B6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BE24B6">
              <w:rPr>
                <w:rFonts w:asciiTheme="minorHAnsi" w:hAnsiTheme="minorHAnsi"/>
                <w:sz w:val="22"/>
                <w:szCs w:val="22"/>
              </w:rPr>
              <w:t xml:space="preserve">Interprétations </w:t>
            </w:r>
          </w:p>
        </w:tc>
        <w:tc>
          <w:tcPr>
            <w:tcW w:w="8505" w:type="dxa"/>
          </w:tcPr>
          <w:p w:rsidR="00F351D6" w:rsidRDefault="00E13B09" w:rsidP="00E80F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Après pollinisation par les insectes, le grain de pollen germe et le gamète mâle féconde l’</w:t>
            </w:r>
            <w:r w:rsidR="00F351D6">
              <w:rPr>
                <w:rFonts w:asciiTheme="minorHAnsi" w:hAnsiTheme="minorHAnsi"/>
                <w:sz w:val="22"/>
                <w:szCs w:val="22"/>
              </w:rPr>
              <w:t>ovule contenu dan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F351D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l’ovaire. </w:t>
            </w:r>
          </w:p>
          <w:p w:rsidR="00F351D6" w:rsidRDefault="00E80F2E" w:rsidP="00E80F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 développement des palétuviers se fait sur l’arbre jusqu’à ce que la plantule soit suffisamment vigoureuse. Elle se détache alors, flotte et s’enracine dès qu’elle entre en contact avec le sol. </w:t>
            </w:r>
          </w:p>
          <w:p w:rsidR="002652D8" w:rsidRPr="008C12DB" w:rsidRDefault="008C12DB" w:rsidP="00E80F2E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Remarque : </w:t>
            </w:r>
            <w:bookmarkStart w:id="0" w:name="_GoBack"/>
            <w:bookmarkEnd w:id="0"/>
            <w:r w:rsidR="00E80F2E" w:rsidRPr="008C12DB">
              <w:rPr>
                <w:rFonts w:asciiTheme="minorHAnsi" w:hAnsiTheme="minorHAnsi"/>
                <w:i/>
                <w:sz w:val="22"/>
                <w:szCs w:val="22"/>
              </w:rPr>
              <w:t>Cette viviparité s’explique par le fait que la graine ne pourrait pas se développer dans un sol inondé en permanence et soumis à l’alternance des marées.</w:t>
            </w:r>
          </w:p>
        </w:tc>
      </w:tr>
    </w:tbl>
    <w:p w:rsidR="00FB5765" w:rsidRPr="00BE24B6" w:rsidRDefault="00FB5765" w:rsidP="00FB5765">
      <w:pPr>
        <w:rPr>
          <w:rFonts w:asciiTheme="minorHAnsi" w:hAnsiTheme="minorHAnsi"/>
          <w:b/>
          <w:sz w:val="22"/>
          <w:szCs w:val="22"/>
          <w:u w:val="single"/>
        </w:rPr>
      </w:pPr>
    </w:p>
    <w:p w:rsidR="00FB5765" w:rsidRPr="00BE24B6" w:rsidRDefault="00FB5765" w:rsidP="00FB5765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E24B6">
        <w:rPr>
          <w:rFonts w:asciiTheme="minorHAnsi" w:hAnsiTheme="minorHAnsi"/>
          <w:b/>
          <w:sz w:val="22"/>
          <w:szCs w:val="22"/>
          <w:u w:val="single"/>
        </w:rPr>
        <w:t>Question 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938"/>
      </w:tblGrid>
      <w:tr w:rsidR="00FB5765" w:rsidRPr="00BE24B6">
        <w:tc>
          <w:tcPr>
            <w:tcW w:w="2376" w:type="dxa"/>
          </w:tcPr>
          <w:p w:rsidR="00FB5765" w:rsidRPr="00BE24B6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BE24B6">
              <w:rPr>
                <w:rFonts w:asciiTheme="minorHAnsi" w:hAnsiTheme="minorHAnsi"/>
                <w:sz w:val="22"/>
                <w:szCs w:val="22"/>
              </w:rPr>
              <w:t>Notions attendues</w:t>
            </w:r>
          </w:p>
        </w:tc>
        <w:tc>
          <w:tcPr>
            <w:tcW w:w="7938" w:type="dxa"/>
          </w:tcPr>
          <w:p w:rsidR="00FB5765" w:rsidRPr="00BE24B6" w:rsidRDefault="00FB5765" w:rsidP="00FB5765">
            <w:pPr>
              <w:pStyle w:val="Sansinterligne"/>
              <w:numPr>
                <w:ilvl w:val="0"/>
                <w:numId w:val="1"/>
              </w:numPr>
              <w:ind w:right="175"/>
              <w:rPr>
                <w:b/>
                <w:color w:val="984806" w:themeColor="accent6" w:themeShade="80"/>
                <w:u w:val="single"/>
              </w:rPr>
            </w:pPr>
            <w:r w:rsidRPr="00BE24B6">
              <w:rPr>
                <w:b/>
                <w:color w:val="984806" w:themeColor="accent6" w:themeShade="80"/>
                <w:u w:val="single"/>
              </w:rPr>
              <w:t xml:space="preserve">Les caractères du squelette 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  <w:rPr>
                <w:b/>
              </w:rPr>
            </w:pPr>
            <w:r w:rsidRPr="00BE24B6">
              <w:rPr>
                <w:b/>
              </w:rPr>
              <w:t xml:space="preserve">Caractères crâniens : Face réduite et plate : menton </w:t>
            </w:r>
            <w:r w:rsidRPr="00BE24B6">
              <w:t xml:space="preserve">bien aligné avec l’os frontal (diminution du prognathisme). </w:t>
            </w:r>
            <w:r w:rsidRPr="00BE24B6">
              <w:rPr>
                <w:b/>
              </w:rPr>
              <w:t>Mandibule parabolique</w:t>
            </w:r>
            <w:r w:rsidRPr="00BE24B6">
              <w:t xml:space="preserve"> et </w:t>
            </w:r>
            <w:r w:rsidRPr="00BE24B6">
              <w:rPr>
                <w:b/>
              </w:rPr>
              <w:t>volume crânien supérieur à 600 cm</w:t>
            </w:r>
            <w:r w:rsidRPr="00BE24B6">
              <w:rPr>
                <w:b/>
                <w:vertAlign w:val="superscript"/>
              </w:rPr>
              <w:t>3</w:t>
            </w:r>
            <w:r w:rsidRPr="00BE24B6">
              <w:rPr>
                <w:b/>
              </w:rPr>
              <w:t>. Trou occipital centré</w:t>
            </w:r>
            <w:r w:rsidRPr="00BE24B6">
              <w:t> : tête posée debout en équilibre sur la colonne vertébrale.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</w:pPr>
            <w:r w:rsidRPr="00BE24B6">
              <w:rPr>
                <w:b/>
              </w:rPr>
              <w:t>Dimorphisme sexuel du squelette peu marqué</w:t>
            </w:r>
            <w:r w:rsidRPr="00BE24B6">
              <w:t>.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</w:pPr>
            <w:r w:rsidRPr="00BE24B6">
              <w:rPr>
                <w:b/>
              </w:rPr>
              <w:t>Bipédie efficace</w:t>
            </w:r>
            <w:r w:rsidRPr="00BE24B6">
              <w:t xml:space="preserve"> </w:t>
            </w:r>
            <w:r w:rsidRPr="00BE24B6">
              <w:rPr>
                <w:b/>
              </w:rPr>
              <w:t>et permanente</w:t>
            </w:r>
            <w:r w:rsidRPr="00BE24B6">
              <w:t xml:space="preserve"> permettant la course grâce à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</w:pPr>
            <w:r w:rsidRPr="00BE24B6">
              <w:rPr>
                <w:b/>
              </w:rPr>
              <w:t>-</w:t>
            </w:r>
            <w:r w:rsidRPr="00BE24B6">
              <w:t xml:space="preserve"> un </w:t>
            </w:r>
            <w:r w:rsidRPr="00BE24B6">
              <w:rPr>
                <w:b/>
              </w:rPr>
              <w:t>bassin court et large +</w:t>
            </w:r>
            <w:r w:rsidRPr="00BE24B6">
              <w:t xml:space="preserve"> 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</w:pPr>
            <w:r w:rsidRPr="00BE24B6">
              <w:t xml:space="preserve">- bonne surface d’insertion des muscles du dos permettant une position redressée et des muscles des jambes permettant une marche active. 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  <w:rPr>
                <w:b/>
              </w:rPr>
            </w:pPr>
            <w:r w:rsidRPr="00BE24B6">
              <w:rPr>
                <w:b/>
              </w:rPr>
              <w:t>- Col du fémur long et fémur orienté vers l’intérieur.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</w:pPr>
            <w:r w:rsidRPr="00BE24B6">
              <w:rPr>
                <w:b/>
              </w:rPr>
              <w:t xml:space="preserve">-  Os spongieux et genoux épais : </w:t>
            </w:r>
            <w:r w:rsidRPr="00BE24B6">
              <w:t>amorti des chocs liés aux déplacements.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</w:pPr>
            <w:r w:rsidRPr="00BE24B6">
              <w:rPr>
                <w:b/>
              </w:rPr>
              <w:t xml:space="preserve">- </w:t>
            </w:r>
            <w:r w:rsidRPr="00BE24B6">
              <w:t>pied vouté et talon épais favorisent la marche.</w:t>
            </w:r>
          </w:p>
          <w:p w:rsidR="00FB5765" w:rsidRPr="00BE24B6" w:rsidRDefault="00FB5765" w:rsidP="00FC0F9D">
            <w:pPr>
              <w:pStyle w:val="Sansinterligne"/>
              <w:ind w:left="720" w:right="175" w:hanging="360"/>
            </w:pPr>
            <w:r w:rsidRPr="00BE24B6">
              <w:rPr>
                <w:b/>
              </w:rPr>
              <w:t xml:space="preserve">- </w:t>
            </w:r>
            <w:r w:rsidRPr="00BE24B6">
              <w:t>gros orteil non opposable aux autres doigts.</w:t>
            </w:r>
          </w:p>
          <w:p w:rsidR="00FB5765" w:rsidRPr="00BE24B6" w:rsidRDefault="00FB5765" w:rsidP="00FB5765">
            <w:pPr>
              <w:pStyle w:val="Sansinterligne"/>
              <w:numPr>
                <w:ilvl w:val="0"/>
                <w:numId w:val="1"/>
              </w:numPr>
              <w:ind w:left="318" w:right="33" w:firstLine="0"/>
              <w:rPr>
                <w:b/>
                <w:color w:val="984806" w:themeColor="accent6" w:themeShade="80"/>
                <w:u w:val="single"/>
              </w:rPr>
            </w:pPr>
            <w:r w:rsidRPr="00BE24B6">
              <w:rPr>
                <w:b/>
                <w:color w:val="984806" w:themeColor="accent6" w:themeShade="80"/>
                <w:u w:val="single"/>
              </w:rPr>
              <w:t xml:space="preserve">Les outils et les activités artistiques. </w:t>
            </w:r>
          </w:p>
          <w:p w:rsidR="00FB5765" w:rsidRPr="00F351D6" w:rsidRDefault="00FB5765" w:rsidP="00F351D6">
            <w:pPr>
              <w:pStyle w:val="Sansinterligne"/>
              <w:ind w:left="318" w:right="33"/>
              <w:rPr>
                <w:b/>
              </w:rPr>
            </w:pPr>
            <w:r w:rsidRPr="00BE24B6">
              <w:rPr>
                <w:b/>
              </w:rPr>
              <w:t>L’utilisation d’outils</w:t>
            </w:r>
            <w:r w:rsidRPr="00BE24B6">
              <w:t xml:space="preserve"> n’est pas propre au genre</w:t>
            </w:r>
            <w:r w:rsidRPr="00BE24B6">
              <w:rPr>
                <w:i/>
              </w:rPr>
              <w:t xml:space="preserve"> Homo </w:t>
            </w:r>
            <w:r w:rsidRPr="00BE24B6">
              <w:t xml:space="preserve">(existe aussi chez les singes et chez les Australopithèques). Les représentants du genre </w:t>
            </w:r>
            <w:r w:rsidRPr="00BE24B6">
              <w:rPr>
                <w:i/>
              </w:rPr>
              <w:t xml:space="preserve">Homo </w:t>
            </w:r>
            <w:r w:rsidRPr="00BE24B6">
              <w:t xml:space="preserve">sont ceux qui ont perfectionné les outils. </w:t>
            </w:r>
            <w:r w:rsidRPr="00BE24B6">
              <w:rPr>
                <w:b/>
              </w:rPr>
              <w:t>Peintures rupestres et objets artistiques</w:t>
            </w:r>
            <w:r w:rsidRPr="00BE24B6">
              <w:t xml:space="preserve"> témoignent de la variété des pratiques culturelles qui se sont développées+ </w:t>
            </w:r>
            <w:r w:rsidRPr="00BE24B6">
              <w:rPr>
                <w:b/>
              </w:rPr>
              <w:t>maitrise du feu et rites funéraires</w:t>
            </w:r>
          </w:p>
        </w:tc>
      </w:tr>
    </w:tbl>
    <w:p w:rsidR="00FB5765" w:rsidRDefault="00FB5765" w:rsidP="00FB5765">
      <w:pPr>
        <w:rPr>
          <w:b/>
        </w:rPr>
      </w:pPr>
    </w:p>
    <w:p w:rsidR="00FB5765" w:rsidRDefault="00FB5765" w:rsidP="00FB5765">
      <w:pPr>
        <w:jc w:val="center"/>
        <w:rPr>
          <w:b/>
          <w:u w:val="single"/>
        </w:rPr>
      </w:pPr>
      <w:r>
        <w:rPr>
          <w:b/>
          <w:u w:val="single"/>
        </w:rPr>
        <w:t>Barème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1134"/>
      </w:tblGrid>
      <w:tr w:rsidR="00FB5765" w:rsidRPr="00D00471">
        <w:tc>
          <w:tcPr>
            <w:tcW w:w="9039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Connaissances scientifiques suffisantes dans les deux domaines</w:t>
            </w:r>
          </w:p>
        </w:tc>
        <w:tc>
          <w:tcPr>
            <w:tcW w:w="1134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FB5765" w:rsidRPr="00D00471">
        <w:tc>
          <w:tcPr>
            <w:tcW w:w="9039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Connaissances scientifiques insuffisantes dans un des deux domaines</w:t>
            </w:r>
          </w:p>
        </w:tc>
        <w:tc>
          <w:tcPr>
            <w:tcW w:w="1134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FB5765" w:rsidRPr="00D00471">
        <w:tc>
          <w:tcPr>
            <w:tcW w:w="9039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Connaissances scientifiques insuffisantes dans les deux domaines</w:t>
            </w:r>
          </w:p>
        </w:tc>
        <w:tc>
          <w:tcPr>
            <w:tcW w:w="1134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FB5765" w:rsidRPr="00D00471">
        <w:tc>
          <w:tcPr>
            <w:tcW w:w="9039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 xml:space="preserve">Connaissances scientifiques insuffisantes </w:t>
            </w:r>
          </w:p>
        </w:tc>
        <w:tc>
          <w:tcPr>
            <w:tcW w:w="1134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FB5765" w:rsidRPr="00D00471">
        <w:tc>
          <w:tcPr>
            <w:tcW w:w="9039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Absence de connaissances</w:t>
            </w:r>
          </w:p>
        </w:tc>
        <w:tc>
          <w:tcPr>
            <w:tcW w:w="1134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</w:tbl>
    <w:p w:rsidR="00FB5765" w:rsidRPr="00D00471" w:rsidRDefault="00FB5765" w:rsidP="00FB5765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6252"/>
        <w:gridCol w:w="771"/>
      </w:tblGrid>
      <w:tr w:rsidR="00FB5765" w:rsidRPr="00D00471">
        <w:tc>
          <w:tcPr>
            <w:tcW w:w="3070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  <w:b/>
              </w:rPr>
            </w:pPr>
            <w:r w:rsidRPr="00D00471">
              <w:rPr>
                <w:rFonts w:asciiTheme="minorHAnsi" w:hAnsiTheme="minorHAnsi"/>
                <w:b/>
                <w:sz w:val="22"/>
                <w:szCs w:val="22"/>
              </w:rPr>
              <w:t>Capacités</w:t>
            </w:r>
          </w:p>
        </w:tc>
        <w:tc>
          <w:tcPr>
            <w:tcW w:w="6252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71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</w:p>
        </w:tc>
      </w:tr>
      <w:tr w:rsidR="00FB5765" w:rsidRPr="00D00471">
        <w:tc>
          <w:tcPr>
            <w:tcW w:w="3070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Rechercher et extraire des informations</w:t>
            </w:r>
          </w:p>
        </w:tc>
        <w:tc>
          <w:tcPr>
            <w:tcW w:w="6252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Les informations utiles sont extraites des documents.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Informations utiles incomplètement extraites des documents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Informations non extraites des documents</w:t>
            </w:r>
          </w:p>
        </w:tc>
        <w:tc>
          <w:tcPr>
            <w:tcW w:w="771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FB5765" w:rsidRPr="00D00471">
        <w:tc>
          <w:tcPr>
            <w:tcW w:w="3070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Raisonner, argumenter en rapport avec la question posée</w:t>
            </w:r>
          </w:p>
        </w:tc>
        <w:tc>
          <w:tcPr>
            <w:tcW w:w="6252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Raisonnement structuré et argumenté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Raisonnement peu structuré et argumenté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Raisonnement ni structuré ni argumenté et/ou erreurs de raisonnement</w:t>
            </w:r>
          </w:p>
        </w:tc>
        <w:tc>
          <w:tcPr>
            <w:tcW w:w="771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FB5765" w:rsidRPr="00D00471">
        <w:tc>
          <w:tcPr>
            <w:tcW w:w="3070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Communiquer dans un langage clair et scientifiquement adapté</w:t>
            </w:r>
          </w:p>
        </w:tc>
        <w:tc>
          <w:tcPr>
            <w:tcW w:w="6252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Communication claire, vocabulaire rigoureux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Communication déficiente sur un de ces points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Communication déficiente sur 2 de ces points</w:t>
            </w:r>
          </w:p>
        </w:tc>
        <w:tc>
          <w:tcPr>
            <w:tcW w:w="771" w:type="dxa"/>
          </w:tcPr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FB5765" w:rsidRPr="00D00471" w:rsidRDefault="00FB5765" w:rsidP="00FC0F9D">
            <w:pPr>
              <w:jc w:val="center"/>
              <w:rPr>
                <w:rFonts w:asciiTheme="minorHAnsi" w:hAnsiTheme="minorHAnsi"/>
              </w:rPr>
            </w:pPr>
            <w:r w:rsidRPr="00D0047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</w:tbl>
    <w:p w:rsidR="00FB5765" w:rsidRDefault="00FB5765" w:rsidP="00FB5765">
      <w:pPr>
        <w:pStyle w:val="Titre"/>
        <w:jc w:val="left"/>
      </w:pPr>
    </w:p>
    <w:sectPr w:rsidR="00FB5765" w:rsidSect="000001D0">
      <w:footerReference w:type="default" r:id="rId9"/>
      <w:pgSz w:w="11906" w:h="16838"/>
      <w:pgMar w:top="284" w:right="907" w:bottom="284" w:left="907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71E" w:rsidRDefault="0042771E" w:rsidP="00655EF7">
      <w:r>
        <w:separator/>
      </w:r>
    </w:p>
  </w:endnote>
  <w:endnote w:type="continuationSeparator" w:id="0">
    <w:p w:rsidR="0042771E" w:rsidRDefault="0042771E" w:rsidP="00655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DB" w:rsidRDefault="0024398E">
    <w:pPr>
      <w:pStyle w:val="Pieddepage"/>
      <w:jc w:val="center"/>
      <w:rPr>
        <w:sz w:val="20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71E" w:rsidRDefault="0042771E" w:rsidP="00655EF7">
      <w:r>
        <w:separator/>
      </w:r>
    </w:p>
  </w:footnote>
  <w:footnote w:type="continuationSeparator" w:id="0">
    <w:p w:rsidR="0042771E" w:rsidRDefault="0042771E" w:rsidP="00655EF7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3191B"/>
    <w:multiLevelType w:val="hybridMultilevel"/>
    <w:tmpl w:val="478C2D6A"/>
    <w:lvl w:ilvl="0" w:tplc="7FBE0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765"/>
    <w:rsid w:val="00004209"/>
    <w:rsid w:val="000B746F"/>
    <w:rsid w:val="0024398E"/>
    <w:rsid w:val="00257597"/>
    <w:rsid w:val="002652D8"/>
    <w:rsid w:val="0042771E"/>
    <w:rsid w:val="00453658"/>
    <w:rsid w:val="004A5814"/>
    <w:rsid w:val="00535D29"/>
    <w:rsid w:val="005B60C1"/>
    <w:rsid w:val="006478BC"/>
    <w:rsid w:val="00655EF7"/>
    <w:rsid w:val="00662B75"/>
    <w:rsid w:val="008725A8"/>
    <w:rsid w:val="008C12DB"/>
    <w:rsid w:val="009A0B43"/>
    <w:rsid w:val="00A5343B"/>
    <w:rsid w:val="00D142A5"/>
    <w:rsid w:val="00D931B3"/>
    <w:rsid w:val="00E13B09"/>
    <w:rsid w:val="00E35695"/>
    <w:rsid w:val="00E80F2E"/>
    <w:rsid w:val="00F351D6"/>
    <w:rsid w:val="00F41C30"/>
    <w:rsid w:val="00FB5765"/>
    <w:rsid w:val="00FD166A"/>
    <w:rsid w:val="00FE4C8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65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itre">
    <w:name w:val="Title"/>
    <w:basedOn w:val="Normal"/>
    <w:link w:val="TitreCar"/>
    <w:qFormat/>
    <w:rsid w:val="00FB5765"/>
    <w:pPr>
      <w:jc w:val="center"/>
    </w:pPr>
    <w:rPr>
      <w:rFonts w:ascii="Comic Sans MS" w:hAnsi="Comic Sans MS"/>
      <w:b/>
      <w:bCs/>
      <w:sz w:val="20"/>
    </w:rPr>
  </w:style>
  <w:style w:type="character" w:customStyle="1" w:styleId="TitreCar">
    <w:name w:val="Titre Car"/>
    <w:basedOn w:val="Policepardfaut"/>
    <w:link w:val="Titre"/>
    <w:rsid w:val="00FB5765"/>
    <w:rPr>
      <w:rFonts w:ascii="Comic Sans MS" w:eastAsia="Times New Roman" w:hAnsi="Comic Sans MS" w:cs="Times New Roman"/>
      <w:b/>
      <w:bCs/>
      <w:sz w:val="20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FB5765"/>
    <w:rPr>
      <w:rFonts w:ascii="Comic Sans MS" w:hAnsi="Comic Sans MS"/>
      <w:b/>
      <w:i/>
      <w:sz w:val="22"/>
    </w:rPr>
  </w:style>
  <w:style w:type="character" w:customStyle="1" w:styleId="Corpsdetexte2Car">
    <w:name w:val="Corps de texte 2 Car"/>
    <w:basedOn w:val="Policepardfaut"/>
    <w:link w:val="Corpsdetexte2"/>
    <w:semiHidden/>
    <w:rsid w:val="00FB5765"/>
    <w:rPr>
      <w:rFonts w:ascii="Comic Sans MS" w:eastAsia="Times New Roman" w:hAnsi="Comic Sans MS" w:cs="Times New Roman"/>
      <w:b/>
      <w:i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FB57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FB57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B5765"/>
    <w:pPr>
      <w:jc w:val="lef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57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76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3552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Frederic Uyttenhove</cp:lastModifiedBy>
  <cp:revision>2</cp:revision>
  <dcterms:created xsi:type="dcterms:W3CDTF">2016-09-08T04:00:00Z</dcterms:created>
  <dcterms:modified xsi:type="dcterms:W3CDTF">2016-09-08T04:00:00Z</dcterms:modified>
</cp:coreProperties>
</file>