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E744" w14:textId="2F150B76" w:rsidR="00905751" w:rsidRDefault="00905751" w:rsidP="00905751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2EF398" wp14:editId="77E1DE2B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ED5E" w14:textId="77777777" w:rsidR="00905751" w:rsidRDefault="00905751" w:rsidP="00905751">
                            <w:r>
                              <w:t xml:space="preserve">Cachet / Accord du directeur : </w:t>
                            </w:r>
                          </w:p>
                          <w:p w14:paraId="3FD011FB" w14:textId="77777777" w:rsidR="00905751" w:rsidRDefault="00905751" w:rsidP="00905751"/>
                          <w:p w14:paraId="2C4E9424" w14:textId="77777777" w:rsidR="00905751" w:rsidRDefault="00905751" w:rsidP="00905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EF39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.3pt;margin-top:1.05pt;width:158.4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" o:allowincell="f">
                <v:textbox>
                  <w:txbxContent>
                    <w:p w14:paraId="70E5ED5E" w14:textId="77777777" w:rsidR="00905751" w:rsidRDefault="00905751" w:rsidP="00905751">
                      <w:r>
                        <w:t xml:space="preserve">Cachet / Accord du directeur : </w:t>
                      </w:r>
                    </w:p>
                    <w:p w14:paraId="3FD011FB" w14:textId="77777777" w:rsidR="00905751" w:rsidRDefault="00905751" w:rsidP="00905751"/>
                    <w:p w14:paraId="2C4E9424" w14:textId="77777777" w:rsidR="00905751" w:rsidRDefault="00905751" w:rsidP="00905751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343FA57" wp14:editId="22AB94AC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4" name="Image 4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8"/>
        </w:rPr>
        <w:t>PROJET D’ETABLISSEMENT</w:t>
      </w:r>
    </w:p>
    <w:p w14:paraId="5AD612C3" w14:textId="77777777" w:rsidR="00905751" w:rsidRPr="00C9558B" w:rsidRDefault="00905751" w:rsidP="00905751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14:paraId="619AB4BB" w14:textId="77777777" w:rsidR="00905751" w:rsidRPr="007613D4" w:rsidRDefault="00905751" w:rsidP="00905751">
      <w:pPr>
        <w:jc w:val="center"/>
        <w:rPr>
          <w:rFonts w:ascii="Tahoma" w:hAnsi="Tahoma"/>
          <w:b/>
          <w:sz w:val="6"/>
          <w:szCs w:val="6"/>
        </w:rPr>
      </w:pPr>
    </w:p>
    <w:p w14:paraId="0714475F" w14:textId="77777777" w:rsidR="00905751" w:rsidRDefault="00905751" w:rsidP="00905751">
      <w:pPr>
        <w:pStyle w:val="En-tte"/>
        <w:ind w:right="-142"/>
        <w:jc w:val="center"/>
        <w:rPr>
          <w:b/>
          <w:sz w:val="24"/>
          <w:szCs w:val="24"/>
        </w:rPr>
      </w:pPr>
    </w:p>
    <w:p w14:paraId="3002CE65" w14:textId="77777777" w:rsidR="00905751" w:rsidRPr="00C9558B" w:rsidRDefault="00905751" w:rsidP="00905751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14:paraId="76B4CC15" w14:textId="77777777" w:rsidR="00905751" w:rsidRDefault="00905751" w:rsidP="00905751">
      <w:pPr>
        <w:pStyle w:val="En-tte"/>
        <w:ind w:right="-142"/>
        <w:jc w:val="center"/>
        <w:rPr>
          <w:b/>
          <w:sz w:val="24"/>
          <w:szCs w:val="24"/>
        </w:rPr>
      </w:pPr>
    </w:p>
    <w:p w14:paraId="11064834" w14:textId="77777777" w:rsidR="00905751" w:rsidRDefault="00905751" w:rsidP="00905751">
      <w:pPr>
        <w:pStyle w:val="En-tte"/>
        <w:ind w:right="-142"/>
        <w:jc w:val="center"/>
        <w:rPr>
          <w:b/>
          <w:sz w:val="24"/>
          <w:szCs w:val="24"/>
        </w:rPr>
      </w:pPr>
    </w:p>
    <w:p w14:paraId="390CAF0F" w14:textId="77777777" w:rsidR="00905751" w:rsidRDefault="00905751" w:rsidP="00905751">
      <w:pPr>
        <w:pStyle w:val="En-tte"/>
        <w:ind w:right="-142"/>
        <w:jc w:val="center"/>
        <w:rPr>
          <w:b/>
          <w:sz w:val="24"/>
          <w:szCs w:val="24"/>
        </w:rPr>
      </w:pPr>
    </w:p>
    <w:p w14:paraId="36A4A6D2" w14:textId="22161A0C" w:rsidR="00905751" w:rsidRPr="00355026" w:rsidRDefault="00905751" w:rsidP="00905751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 wp14:anchorId="41E7B991" wp14:editId="1963BB53">
            <wp:extent cx="17145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 wp14:anchorId="71C6C0F8" wp14:editId="5A8C3AF7">
            <wp:extent cx="17145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F57DC6">
        <w:rPr>
          <w:rFonts w:ascii="Arial" w:hAnsi="Arial" w:cs="Arial"/>
          <w:b/>
        </w:rPr>
      </w:r>
      <w:r w:rsidR="00F57DC6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14:paraId="65A08DFE" w14:textId="77777777" w:rsidR="00905751" w:rsidRPr="00355026" w:rsidRDefault="00905751" w:rsidP="00905751"/>
    <w:p w14:paraId="5B7442F5" w14:textId="77777777" w:rsidR="00905751" w:rsidRDefault="00905751" w:rsidP="00905751"/>
    <w:p w14:paraId="16398A3F" w14:textId="77777777" w:rsidR="00905751" w:rsidRDefault="00905751" w:rsidP="00905751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14:paraId="3879532D" w14:textId="77777777" w:rsidR="00905751" w:rsidRPr="007613D4" w:rsidRDefault="00905751" w:rsidP="00905751">
      <w:pPr>
        <w:rPr>
          <w:sz w:val="6"/>
          <w:szCs w:val="6"/>
        </w:rPr>
      </w:pPr>
    </w:p>
    <w:p w14:paraId="2178B958" w14:textId="77777777" w:rsidR="00905751" w:rsidRPr="007613D4" w:rsidRDefault="00905751" w:rsidP="00905751">
      <w:pPr>
        <w:pStyle w:val="En-tte"/>
        <w:jc w:val="center"/>
        <w:rPr>
          <w:b/>
          <w:sz w:val="6"/>
          <w:szCs w:val="6"/>
        </w:rPr>
      </w:pPr>
    </w:p>
    <w:p w14:paraId="2F6B3033" w14:textId="77777777" w:rsidR="00905751" w:rsidRDefault="00905751" w:rsidP="00905751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3E24D617" w14:textId="77777777" w:rsidR="00905751" w:rsidRDefault="00905751" w:rsidP="00905751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263607B9" w14:textId="77777777" w:rsidR="00905751" w:rsidRPr="00540751" w:rsidRDefault="00905751" w:rsidP="00905751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F57DC6">
        <w:rPr>
          <w:rFonts w:ascii="Arial" w:hAnsi="Arial" w:cs="Arial"/>
          <w:b/>
        </w:rPr>
      </w:r>
      <w:r w:rsidR="00F57DC6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14:paraId="01D3161C" w14:textId="77777777" w:rsidR="00905751" w:rsidRDefault="00905751" w:rsidP="00905751">
      <w:pPr>
        <w:pStyle w:val="En-tte"/>
        <w:ind w:right="-142"/>
        <w:jc w:val="center"/>
        <w:rPr>
          <w:b/>
          <w:sz w:val="24"/>
          <w:szCs w:val="24"/>
        </w:rPr>
      </w:pPr>
    </w:p>
    <w:p w14:paraId="1A03D1BE" w14:textId="77777777" w:rsidR="00905751" w:rsidRDefault="00905751" w:rsidP="00905751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680"/>
      </w:tblGrid>
      <w:tr w:rsidR="00905751" w14:paraId="3B1FF5AE" w14:textId="77777777" w:rsidTr="005455E3">
        <w:tc>
          <w:tcPr>
            <w:tcW w:w="3004" w:type="dxa"/>
            <w:shd w:val="clear" w:color="auto" w:fill="auto"/>
          </w:tcPr>
          <w:p w14:paraId="1F9227E4" w14:textId="77777777" w:rsidR="00905751" w:rsidRPr="0071566E" w:rsidRDefault="00905751" w:rsidP="005455E3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14:paraId="45111358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</w:tr>
      <w:tr w:rsidR="00905751" w14:paraId="5781DFAD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5420DE77" w14:textId="77777777" w:rsidR="00905751" w:rsidRPr="0071566E" w:rsidRDefault="00905751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14:paraId="0C03554C" w14:textId="77777777" w:rsidR="00905751" w:rsidRPr="0071566E" w:rsidRDefault="00905751" w:rsidP="00905751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14:paraId="76EC04D2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08DD3778" w14:textId="77777777" w:rsidTr="005455E3">
        <w:tc>
          <w:tcPr>
            <w:tcW w:w="3004" w:type="dxa"/>
            <w:vMerge/>
            <w:shd w:val="clear" w:color="auto" w:fill="auto"/>
          </w:tcPr>
          <w:p w14:paraId="2C6EE590" w14:textId="77777777" w:rsidR="00905751" w:rsidRPr="0071566E" w:rsidRDefault="00905751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35698680" w14:textId="77777777" w:rsidR="00905751" w:rsidRPr="0071566E" w:rsidRDefault="00905751" w:rsidP="00905751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14:paraId="2C59B764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4A0B503D" w14:textId="77777777" w:rsidTr="005455E3">
        <w:tc>
          <w:tcPr>
            <w:tcW w:w="3004" w:type="dxa"/>
            <w:vMerge/>
            <w:shd w:val="clear" w:color="auto" w:fill="auto"/>
          </w:tcPr>
          <w:p w14:paraId="29A5BCA7" w14:textId="77777777" w:rsidR="00905751" w:rsidRPr="0071566E" w:rsidRDefault="00905751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56432623" w14:textId="77777777" w:rsidR="00905751" w:rsidRPr="0071566E" w:rsidRDefault="00905751" w:rsidP="00905751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14:paraId="691AF3E4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063233D1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2F1208E8" w14:textId="77777777" w:rsidR="00905751" w:rsidRPr="0071566E" w:rsidRDefault="00905751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14:paraId="61EC7077" w14:textId="77777777" w:rsidR="00905751" w:rsidRPr="0071566E" w:rsidRDefault="00905751" w:rsidP="00905751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14:paraId="46A36A4F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589364B5" w14:textId="77777777" w:rsidTr="005455E3">
        <w:tc>
          <w:tcPr>
            <w:tcW w:w="3004" w:type="dxa"/>
            <w:vMerge/>
            <w:shd w:val="clear" w:color="auto" w:fill="auto"/>
          </w:tcPr>
          <w:p w14:paraId="4EFA879B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7C31255D" w14:textId="77777777" w:rsidR="00905751" w:rsidRPr="0071566E" w:rsidRDefault="00905751" w:rsidP="00905751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14:paraId="04735BBF" w14:textId="77777777" w:rsidR="00905751" w:rsidRPr="0071566E" w:rsidRDefault="00905751" w:rsidP="005455E3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905751" w14:paraId="1B071726" w14:textId="77777777" w:rsidTr="005455E3">
        <w:tc>
          <w:tcPr>
            <w:tcW w:w="3004" w:type="dxa"/>
            <w:vMerge/>
            <w:shd w:val="clear" w:color="auto" w:fill="auto"/>
          </w:tcPr>
          <w:p w14:paraId="298B680B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6423443D" w14:textId="77777777" w:rsidR="00905751" w:rsidRPr="0071566E" w:rsidRDefault="00905751" w:rsidP="00905751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14:paraId="37FDB49F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63EFC499" w14:textId="77777777" w:rsidTr="005455E3">
        <w:tc>
          <w:tcPr>
            <w:tcW w:w="3004" w:type="dxa"/>
            <w:vMerge/>
            <w:shd w:val="clear" w:color="auto" w:fill="auto"/>
          </w:tcPr>
          <w:p w14:paraId="7A0FC90B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4AA0ACB2" w14:textId="77777777" w:rsidR="00905751" w:rsidRPr="0071566E" w:rsidRDefault="00905751" w:rsidP="00905751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14:paraId="110E12B1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7C218498" w14:textId="77777777" w:rsidTr="005455E3">
        <w:tc>
          <w:tcPr>
            <w:tcW w:w="3004" w:type="dxa"/>
            <w:vMerge/>
            <w:shd w:val="clear" w:color="auto" w:fill="auto"/>
          </w:tcPr>
          <w:p w14:paraId="0056198C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021EBBEC" w14:textId="77777777" w:rsidR="00905751" w:rsidRPr="0071566E" w:rsidRDefault="00905751" w:rsidP="00905751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14:paraId="701BF8B7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6DD10632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2CE8AC70" w14:textId="77777777" w:rsidR="00905751" w:rsidRPr="0071566E" w:rsidRDefault="00905751" w:rsidP="005455E3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14:paraId="752C09D8" w14:textId="77777777" w:rsidR="00905751" w:rsidRPr="0071566E" w:rsidRDefault="00905751" w:rsidP="00905751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14:paraId="35829669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</w:tr>
      <w:tr w:rsidR="00905751" w14:paraId="1D820B78" w14:textId="77777777" w:rsidTr="005455E3">
        <w:tc>
          <w:tcPr>
            <w:tcW w:w="3004" w:type="dxa"/>
            <w:vMerge/>
            <w:shd w:val="clear" w:color="auto" w:fill="auto"/>
          </w:tcPr>
          <w:p w14:paraId="06E79405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7D262DFF" w14:textId="77777777" w:rsidR="00905751" w:rsidRPr="0071566E" w:rsidRDefault="00905751" w:rsidP="00905751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14:paraId="3CBF99F4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5EA6FA27" w14:textId="77777777" w:rsidTr="005455E3">
        <w:tc>
          <w:tcPr>
            <w:tcW w:w="3004" w:type="dxa"/>
            <w:vMerge/>
            <w:shd w:val="clear" w:color="auto" w:fill="auto"/>
          </w:tcPr>
          <w:p w14:paraId="20FECEAA" w14:textId="77777777" w:rsidR="00905751" w:rsidRPr="0071566E" w:rsidRDefault="00905751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6A4B21F4" w14:textId="77777777" w:rsidR="00905751" w:rsidRPr="0071566E" w:rsidRDefault="00905751" w:rsidP="00905751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14:paraId="5F627172" w14:textId="77777777" w:rsidR="00905751" w:rsidRPr="0071566E" w:rsidRDefault="00905751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905751" w14:paraId="2931E7CD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46D79EE8" w14:textId="77777777" w:rsidR="00905751" w:rsidRPr="0071566E" w:rsidRDefault="00905751" w:rsidP="005455E3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14:paraId="58F803F8" w14:textId="77777777" w:rsidR="00905751" w:rsidRPr="0071566E" w:rsidRDefault="00905751" w:rsidP="005455E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3DBD2B31" w14:textId="77777777" w:rsidR="00905751" w:rsidRPr="0071566E" w:rsidRDefault="00905751" w:rsidP="00905751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14:paraId="1D2ED86F" w14:textId="77777777" w:rsidR="00905751" w:rsidRPr="0071566E" w:rsidRDefault="00905751" w:rsidP="005455E3">
            <w:pPr>
              <w:rPr>
                <w:sz w:val="16"/>
                <w:szCs w:val="16"/>
                <w:lang w:eastAsia="en-US"/>
              </w:rPr>
            </w:pPr>
          </w:p>
        </w:tc>
      </w:tr>
      <w:tr w:rsidR="00905751" w14:paraId="1FEEBB2E" w14:textId="77777777" w:rsidTr="005455E3">
        <w:tc>
          <w:tcPr>
            <w:tcW w:w="3004" w:type="dxa"/>
            <w:vMerge/>
            <w:shd w:val="clear" w:color="auto" w:fill="auto"/>
            <w:hideMark/>
          </w:tcPr>
          <w:p w14:paraId="7A967644" w14:textId="77777777" w:rsidR="00905751" w:rsidRPr="0071566E" w:rsidRDefault="00905751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14:paraId="794403E3" w14:textId="77777777" w:rsidR="00905751" w:rsidRPr="0071566E" w:rsidRDefault="00905751" w:rsidP="00905751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14:paraId="41561EF7" w14:textId="77777777" w:rsidR="00905751" w:rsidRPr="0071566E" w:rsidRDefault="00905751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05751" w14:paraId="47D37D91" w14:textId="77777777" w:rsidTr="005455E3">
        <w:tc>
          <w:tcPr>
            <w:tcW w:w="3004" w:type="dxa"/>
            <w:vMerge/>
            <w:shd w:val="clear" w:color="auto" w:fill="auto"/>
            <w:hideMark/>
          </w:tcPr>
          <w:p w14:paraId="248F9833" w14:textId="77777777" w:rsidR="00905751" w:rsidRPr="0071566E" w:rsidRDefault="00905751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14:paraId="33CE90C1" w14:textId="77777777" w:rsidR="00905751" w:rsidRPr="0071566E" w:rsidRDefault="00905751" w:rsidP="00905751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14:paraId="169406BF" w14:textId="77777777" w:rsidR="00905751" w:rsidRPr="0071566E" w:rsidRDefault="00905751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05751" w14:paraId="7B5469E2" w14:textId="77777777" w:rsidTr="005455E3">
        <w:tc>
          <w:tcPr>
            <w:tcW w:w="3004" w:type="dxa"/>
            <w:vMerge/>
            <w:shd w:val="clear" w:color="auto" w:fill="auto"/>
            <w:hideMark/>
          </w:tcPr>
          <w:p w14:paraId="1784F5A6" w14:textId="77777777" w:rsidR="00905751" w:rsidRPr="0071566E" w:rsidRDefault="00905751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14:paraId="62D0B034" w14:textId="77777777" w:rsidR="00905751" w:rsidRPr="0071566E" w:rsidRDefault="00905751" w:rsidP="00905751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14:paraId="7B049EFE" w14:textId="77777777" w:rsidR="00905751" w:rsidRPr="0071566E" w:rsidRDefault="00905751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706F0DCB" w14:textId="77777777" w:rsidR="00905751" w:rsidRPr="00384FBF" w:rsidRDefault="00905751" w:rsidP="00905751">
      <w:pPr>
        <w:pStyle w:val="En-tte"/>
        <w:ind w:right="-142"/>
        <w:rPr>
          <w:sz w:val="24"/>
          <w:szCs w:val="24"/>
        </w:rPr>
      </w:pPr>
    </w:p>
    <w:p w14:paraId="6F7106F9" w14:textId="77777777" w:rsidR="00905751" w:rsidRPr="00384FBF" w:rsidRDefault="00905751" w:rsidP="00905751">
      <w:pPr>
        <w:pStyle w:val="En-tte"/>
        <w:ind w:right="-142"/>
        <w:rPr>
          <w:sz w:val="24"/>
          <w:szCs w:val="24"/>
        </w:rPr>
      </w:pPr>
    </w:p>
    <w:p w14:paraId="5E2583C1" w14:textId="77777777" w:rsidR="00905751" w:rsidRPr="00413406" w:rsidRDefault="00905751" w:rsidP="00905751">
      <w:pPr>
        <w:pStyle w:val="En-tte"/>
        <w:ind w:right="-142"/>
      </w:pPr>
      <w:r w:rsidRPr="00384FBF">
        <w:rPr>
          <w:sz w:val="24"/>
          <w:szCs w:val="24"/>
        </w:rPr>
        <w:t xml:space="preserve"> </w:t>
      </w:r>
    </w:p>
    <w:p w14:paraId="7681B291" w14:textId="77777777"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 w14:paraId="37ACC8AA" w14:textId="77777777">
        <w:tc>
          <w:tcPr>
            <w:tcW w:w="10344" w:type="dxa"/>
          </w:tcPr>
          <w:p w14:paraId="68AC5E5B" w14:textId="6855E491" w:rsidR="009E64FD" w:rsidRPr="004774EF" w:rsidRDefault="004D417A" w:rsidP="00077DBA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077DBA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077DBA" w:rsidRPr="00077DBA">
              <w:rPr>
                <w:rFonts w:asciiTheme="minorHAnsi" w:hAnsiTheme="minorHAnsi"/>
                <w:b/>
                <w:sz w:val="22"/>
              </w:rPr>
              <w:t>ALLONS A LA DECOUVERTE DE LA CULTURE  ET DES  VALEURS DU MONDE KANAK</w:t>
            </w:r>
          </w:p>
        </w:tc>
      </w:tr>
    </w:tbl>
    <w:p w14:paraId="7A9AE20B" w14:textId="78ED880A" w:rsidR="009E64FD" w:rsidRDefault="009E64FD">
      <w:pPr>
        <w:rPr>
          <w:rFonts w:asciiTheme="minorHAnsi" w:hAnsiTheme="minorHAnsi"/>
          <w:sz w:val="22"/>
        </w:rPr>
      </w:pPr>
    </w:p>
    <w:p w14:paraId="4B88D747" w14:textId="77777777" w:rsidR="00905751" w:rsidRDefault="00905751">
      <w:pPr>
        <w:rPr>
          <w:rFonts w:asciiTheme="minorHAnsi" w:hAnsiTheme="minorHAnsi"/>
          <w:sz w:val="22"/>
        </w:rPr>
      </w:pPr>
    </w:p>
    <w:p w14:paraId="61E5E251" w14:textId="77777777" w:rsidR="00B52D0C" w:rsidRPr="004774EF" w:rsidRDefault="00B52D0C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74"/>
      </w:tblGrid>
      <w:tr w:rsidR="009E64FD" w:rsidRPr="004774EF" w14:paraId="55A0005C" w14:textId="77777777">
        <w:trPr>
          <w:gridAfter w:val="1"/>
          <w:wAfter w:w="7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2DEBA5B" w14:textId="77777777"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lastRenderedPageBreak/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A04124" w14:paraId="2E3C5134" w14:textId="77777777">
        <w:trPr>
          <w:gridAfter w:val="1"/>
          <w:wAfter w:w="74" w:type="dxa"/>
        </w:trPr>
        <w:tc>
          <w:tcPr>
            <w:tcW w:w="10276" w:type="dxa"/>
            <w:gridSpan w:val="5"/>
            <w:tcBorders>
              <w:top w:val="nil"/>
            </w:tcBorders>
          </w:tcPr>
          <w:p w14:paraId="097B2FC2" w14:textId="6F6A979B" w:rsidR="0099074B" w:rsidRPr="00A04124" w:rsidRDefault="0099074B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Diagnostique 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Encore un grand nombre d’élèves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voie d’adultes </w:t>
            </w:r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ne connaissent pas les us et coutumes ainsi que l’organisation sociétale du monde kanak. Cette </w:t>
            </w:r>
            <w:proofErr w:type="spellStart"/>
            <w:r w:rsidR="003343A8" w:rsidRPr="00A04124">
              <w:rPr>
                <w:rFonts w:asciiTheme="minorHAnsi" w:hAnsiTheme="minorHAnsi"/>
                <w:sz w:val="24"/>
                <w:szCs w:val="24"/>
              </w:rPr>
              <w:t>méconnaisance</w:t>
            </w:r>
            <w:proofErr w:type="spellEnd"/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 est souvent source de </w:t>
            </w:r>
            <w:proofErr w:type="gramStart"/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malentendus 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>voire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de conflit. Il y a encore </w:t>
            </w:r>
            <w:proofErr w:type="gramStart"/>
            <w:r w:rsidR="003343A8" w:rsidRPr="00A04124">
              <w:rPr>
                <w:rFonts w:asciiTheme="minorHAnsi" w:hAnsiTheme="minorHAnsi"/>
                <w:sz w:val="24"/>
                <w:szCs w:val="24"/>
              </w:rPr>
              <w:t>des jeunes non kanak</w:t>
            </w:r>
            <w:proofErr w:type="gramEnd"/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 qui ne sont jamais allés en tribu. </w:t>
            </w:r>
          </w:p>
          <w:p w14:paraId="2F3A144F" w14:textId="7D245240" w:rsidR="003343A8" w:rsidRPr="00A04124" w:rsidRDefault="0099074B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 cause de la modernité des jeunes kanak perdent leur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repairs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voire même des éléments de leur culture.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D’autres,  oublient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et/ou n’appliquent pas ou plus,  les valeurs </w:t>
            </w:r>
            <w:r w:rsidR="003343A8"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qui leur ont été  transmises par les anciens. </w:t>
            </w:r>
          </w:p>
          <w:p w14:paraId="7EAA3A4A" w14:textId="22DF894C" w:rsidR="0099074B" w:rsidRPr="00A04124" w:rsidRDefault="0099074B" w:rsidP="0099074B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Objectifs visés : Valoriser l’enseignement de la culture et des langues kanak. (Reconnaissance de l’identité kanak). Offrir aux élèves la possibilité de mieux connaitre les us et coutumes </w:t>
            </w:r>
            <w:r w:rsidR="007643E3" w:rsidRPr="00A04124">
              <w:rPr>
                <w:rFonts w:asciiTheme="minorHAnsi" w:hAnsiTheme="minorHAnsi"/>
                <w:sz w:val="24"/>
                <w:szCs w:val="24"/>
              </w:rPr>
              <w:t xml:space="preserve">ainsi que la culture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>des kanak.</w:t>
            </w:r>
          </w:p>
          <w:p w14:paraId="29E37B6B" w14:textId="170286D9" w:rsidR="0099074B" w:rsidRPr="00A04124" w:rsidRDefault="0099074B" w:rsidP="0099074B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Mieux comprendre l’autre pour mieux l’accepter. Tisser et entretenir des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liens  intergénérationnels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avec le monde mélanésien. Connaitre l’organisation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de la société kanak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.  </w:t>
            </w:r>
          </w:p>
          <w:p w14:paraId="1B5458A1" w14:textId="492453E3" w:rsidR="0099074B" w:rsidRPr="00A04124" w:rsidRDefault="0099074B" w:rsidP="0099074B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Transmettre à la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jeunesse  les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valeurs, d’humilité,  de respect, de tolérance, de non-violence,</w:t>
            </w:r>
            <w:r w:rsidR="007643E3" w:rsidRPr="00A04124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="007643E3" w:rsidRPr="00A04124">
              <w:rPr>
                <w:rFonts w:asciiTheme="minorHAnsi" w:hAnsiTheme="minorHAnsi"/>
                <w:sz w:val="24"/>
                <w:szCs w:val="24"/>
              </w:rPr>
              <w:t>travail,de</w:t>
            </w:r>
            <w:proofErr w:type="spellEnd"/>
            <w:r w:rsidR="007643E3" w:rsidRPr="00A04124">
              <w:rPr>
                <w:rFonts w:asciiTheme="minorHAnsi" w:hAnsiTheme="minorHAnsi"/>
                <w:sz w:val="24"/>
                <w:szCs w:val="24"/>
              </w:rPr>
              <w:t xml:space="preserve"> l’</w:t>
            </w:r>
            <w:r w:rsidR="00081903" w:rsidRPr="00A04124">
              <w:rPr>
                <w:rFonts w:asciiTheme="minorHAnsi" w:hAnsiTheme="minorHAnsi"/>
                <w:sz w:val="24"/>
                <w:szCs w:val="24"/>
              </w:rPr>
              <w:t>e</w:t>
            </w:r>
            <w:r w:rsidR="007643E3" w:rsidRPr="00A04124">
              <w:rPr>
                <w:rFonts w:asciiTheme="minorHAnsi" w:hAnsiTheme="minorHAnsi"/>
                <w:sz w:val="24"/>
                <w:szCs w:val="24"/>
              </w:rPr>
              <w:t xml:space="preserve">ngagement,  </w:t>
            </w:r>
            <w:r w:rsidR="00081903" w:rsidRPr="00A04124">
              <w:rPr>
                <w:rFonts w:asciiTheme="minorHAnsi" w:hAnsiTheme="minorHAnsi"/>
                <w:sz w:val="24"/>
                <w:szCs w:val="24"/>
              </w:rPr>
              <w:t xml:space="preserve">de partage, de </w:t>
            </w:r>
            <w:proofErr w:type="spellStart"/>
            <w:r w:rsidR="00081903" w:rsidRPr="00A04124">
              <w:rPr>
                <w:rFonts w:asciiTheme="minorHAnsi" w:hAnsiTheme="minorHAnsi"/>
                <w:sz w:val="24"/>
                <w:szCs w:val="24"/>
              </w:rPr>
              <w:t>soildarité</w:t>
            </w:r>
            <w:proofErr w:type="spellEnd"/>
            <w:r w:rsidR="00081903" w:rsidRPr="00A04124">
              <w:rPr>
                <w:rFonts w:asciiTheme="minorHAnsi" w:hAnsiTheme="minorHAnsi"/>
                <w:sz w:val="24"/>
                <w:szCs w:val="24"/>
              </w:rPr>
              <w:t xml:space="preserve">, 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etc.</w:t>
            </w:r>
          </w:p>
          <w:p w14:paraId="20648055" w14:textId="4E2C1C11" w:rsidR="007643E3" w:rsidRPr="00A04124" w:rsidRDefault="007643E3" w:rsidP="007643E3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Apprendre aux élèves d’une manière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générale  à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mieux s’intégrer dans l’établissement. Redonner un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cadre,  rappel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des règles de la vie en collectivité</w:t>
            </w:r>
            <w:r w:rsidR="003D0B15" w:rsidRPr="00A04124">
              <w:rPr>
                <w:rFonts w:asciiTheme="minorHAnsi" w:hAnsiTheme="minorHAnsi"/>
                <w:sz w:val="24"/>
                <w:szCs w:val="24"/>
              </w:rPr>
              <w:t xml:space="preserve"> et du règlement </w:t>
            </w:r>
            <w:proofErr w:type="spellStart"/>
            <w:r w:rsidR="003D0B15" w:rsidRPr="00A04124">
              <w:rPr>
                <w:rFonts w:asciiTheme="minorHAnsi" w:hAnsiTheme="minorHAnsi"/>
                <w:sz w:val="24"/>
                <w:szCs w:val="24"/>
              </w:rPr>
              <w:t>interieur</w:t>
            </w:r>
            <w:proofErr w:type="spellEnd"/>
            <w:r w:rsidR="003D0B15" w:rsidRPr="00A04124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4C41D622" w14:textId="08579208" w:rsidR="007643E3" w:rsidRPr="00A04124" w:rsidRDefault="007643E3" w:rsidP="007643E3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Compétence travaillées 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: Changer le regard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des  élèves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sur l’école, les impliquer davantage dans les actions menées,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améliorer l’estime de soi, </w:t>
            </w:r>
            <w:r w:rsidR="009C44D6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 leur apprendre à faire </w:t>
            </w:r>
            <w:proofErr w:type="spellStart"/>
            <w:r w:rsidR="009C44D6" w:rsidRPr="00A04124">
              <w:rPr>
                <w:rFonts w:asciiTheme="minorHAnsi" w:hAnsiTheme="minorHAnsi"/>
                <w:b/>
                <w:sz w:val="24"/>
                <w:szCs w:val="24"/>
              </w:rPr>
              <w:t>opreuve</w:t>
            </w:r>
            <w:proofErr w:type="spellEnd"/>
            <w:r w:rsidR="009C44D6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  de bienveillance et de  tolérance,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leur redonner le goût de l’effort, l’envie d’apprendre, de réussir et l’envie de partager avec les autres élèves des autres communautés.(rapprochement des communautés du collège)</w:t>
            </w:r>
            <w:r w:rsidR="009C44D6" w:rsidRPr="00A04124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D0B951E" w14:textId="3B90384E" w:rsidR="007643E3" w:rsidRPr="00A04124" w:rsidRDefault="007643E3" w:rsidP="007643E3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Améliorer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les  relations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C44D6" w:rsidRPr="00A04124">
              <w:rPr>
                <w:rFonts w:asciiTheme="minorHAnsi" w:hAnsiTheme="minorHAnsi"/>
                <w:sz w:val="24"/>
                <w:szCs w:val="24"/>
              </w:rPr>
              <w:t xml:space="preserve">entre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élèves</w:t>
            </w:r>
            <w:r w:rsidR="009C44D6" w:rsidRPr="00A04124">
              <w:rPr>
                <w:rFonts w:asciiTheme="minorHAnsi" w:hAnsiTheme="minorHAnsi"/>
                <w:sz w:val="24"/>
                <w:szCs w:val="24"/>
              </w:rPr>
              <w:t xml:space="preserve"> mais aussi,  les relations  entre les  élèves et l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’équipe éducative, faire diminuer les actes d’incivilités et la violence,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leur apprendre à vivre ensemble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>, à accepter l’autre, lutter contre la délinquance.</w:t>
            </w:r>
          </w:p>
          <w:p w14:paraId="2E152C06" w14:textId="2FF32403" w:rsidR="0099074B" w:rsidRPr="00A04124" w:rsidRDefault="009C44D6" w:rsidP="0099074B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Lutter contre l’absentéisme, éviter le décrochage,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rendre l’élève plus autonome.</w:t>
            </w:r>
          </w:p>
          <w:p w14:paraId="326A2C90" w14:textId="2AC314D4" w:rsidR="009E64FD" w:rsidRPr="00A04124" w:rsidRDefault="009C44D6" w:rsidP="00B52D0C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Impli</w:t>
            </w:r>
            <w:r w:rsidR="00081903" w:rsidRPr="00A04124">
              <w:rPr>
                <w:rFonts w:asciiTheme="minorHAnsi" w:hAnsiTheme="minorHAnsi"/>
                <w:sz w:val="24"/>
                <w:szCs w:val="24"/>
              </w:rPr>
              <w:t>quer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 davantage les parents et  les autorités coutumières au sein du collège</w:t>
            </w:r>
          </w:p>
        </w:tc>
      </w:tr>
      <w:tr w:rsidR="009E64FD" w:rsidRPr="00A04124" w14:paraId="4223F2E7" w14:textId="77777777">
        <w:trPr>
          <w:gridAfter w:val="1"/>
          <w:wAfter w:w="7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B03F6E7" w14:textId="77777777" w:rsidR="009E64FD" w:rsidRPr="00A04124" w:rsidRDefault="004D417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 -Descriptif de l’action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, dispositif (</w:t>
            </w:r>
            <w:r w:rsidR="007B011D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prenant en compte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EPI, AP, EE, TPE, activités périscolaires…)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</w:tc>
      </w:tr>
      <w:tr w:rsidR="009E64FD" w:rsidRPr="00A04124" w14:paraId="2552170C" w14:textId="77777777">
        <w:trPr>
          <w:gridAfter w:val="1"/>
          <w:wAfter w:w="74" w:type="dxa"/>
        </w:trPr>
        <w:tc>
          <w:tcPr>
            <w:tcW w:w="10276" w:type="dxa"/>
            <w:gridSpan w:val="5"/>
            <w:tcBorders>
              <w:top w:val="nil"/>
            </w:tcBorders>
          </w:tcPr>
          <w:p w14:paraId="782A72D6" w14:textId="141083D2" w:rsidR="009E64FD" w:rsidRPr="00A04124" w:rsidRDefault="0008190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L’atelier continuera à fonctionner les mercredis après-midis à raison d’une voire deux séances par mois. Mais également, avec l’aide des deux accompagnatrices d’éducation, sur la pause méridienne, les mardi et jeudi.  </w:t>
            </w:r>
          </w:p>
          <w:p w14:paraId="0F8483AA" w14:textId="24539585" w:rsidR="00081903" w:rsidRPr="00A04124" w:rsidRDefault="00081903" w:rsidP="0008190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L’atelier est ouvert à tous les élèves de l’établissement sur la base du volontariat. </w:t>
            </w:r>
          </w:p>
          <w:p w14:paraId="3FB00890" w14:textId="77777777" w:rsidR="003D0B15" w:rsidRPr="00A04124" w:rsidRDefault="003D0B15" w:rsidP="003D0B15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L’idée est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toujours  de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travailler sur des thèmes bien précis et en rapport avec la culture et les valeurs (coutumes) kanak.  En fonction du thème abordé, le groupe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d’élèves  ira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 sur le terrain, en tribu ou  sur le site programmé.  Au cas contraire, ce sera à l’intervenant de venir à la rencontre du groupe au collège. </w:t>
            </w:r>
          </w:p>
          <w:p w14:paraId="16E78CF7" w14:textId="333F28C0" w:rsidR="003D0B15" w:rsidRPr="00A04124" w:rsidRDefault="003D0B15" w:rsidP="003D0B15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Il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et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prévu, un déplacement sur Nouméa pour aller visiter le sénat coutumier et le centre culturel Jean-Marie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Tjibaou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>. Mais également</w:t>
            </w:r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, après l’accueil des élèves </w:t>
            </w:r>
            <w:proofErr w:type="gramStart"/>
            <w:r w:rsidR="00DA50CE" w:rsidRPr="00A04124">
              <w:rPr>
                <w:rFonts w:asciiTheme="minorHAnsi" w:hAnsiTheme="minorHAnsi"/>
                <w:sz w:val="24"/>
                <w:szCs w:val="24"/>
              </w:rPr>
              <w:t>d’OUVEA(</w:t>
            </w:r>
            <w:proofErr w:type="gramEnd"/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2017) et de Maré(2019)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de continuer à nouer des échanges et de tisser des liens d’amitiés avec </w:t>
            </w:r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des établissements scolaires des Îles Loyautés et de </w:t>
            </w:r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 la côte Est du pays ;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C1795D4" w14:textId="77777777" w:rsidR="003D0B15" w:rsidRPr="00A04124" w:rsidRDefault="003D0B15" w:rsidP="003D0B15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Quand  la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situation l’exigera (visite sur Nouméa, voire dans une autre province),  la sortie  pourra se faire sur une journée entière en accord avec la direction du collège.   </w:t>
            </w:r>
          </w:p>
          <w:p w14:paraId="3FDBC566" w14:textId="586E4665" w:rsidR="003D0B15" w:rsidRPr="00A04124" w:rsidRDefault="003D0B15" w:rsidP="003D0B15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Au programme de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l’atelier,  la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mise en place  d’ateliers pratiques  (de sculpture, tressage, couture,  théâtre,  musique, de coutume, de travaux manuels de petits travaux agricoles, </w:t>
            </w:r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cuisine),   des sorties en tribu pour rencontrer et échanger avec les anciens, les mamies,  des activités sportives, un voyage et un échange  scolaires,  avec des élèves de Maré .  </w:t>
            </w:r>
          </w:p>
          <w:p w14:paraId="6D30BCA8" w14:textId="77777777" w:rsidR="003D0B15" w:rsidRPr="00A04124" w:rsidRDefault="003D0B15" w:rsidP="003D0B15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lastRenderedPageBreak/>
              <w:t>Participer à des actions de protection de l’environnement, de végétalisation et autres,</w:t>
            </w:r>
          </w:p>
          <w:p w14:paraId="17C5B619" w14:textId="1D25D2CD" w:rsidR="003D0B15" w:rsidRPr="00A04124" w:rsidRDefault="003D0B15" w:rsidP="003D0B1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Mettre en œuvre une restitution du travail de l’atelier lors de la fête du collège axé sur les thèmes </w:t>
            </w:r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de la </w:t>
            </w:r>
            <w:proofErr w:type="gramStart"/>
            <w:r w:rsidR="00DA50CE" w:rsidRPr="00A04124">
              <w:rPr>
                <w:rFonts w:asciiTheme="minorHAnsi" w:hAnsiTheme="minorHAnsi"/>
                <w:sz w:val="24"/>
                <w:szCs w:val="24"/>
              </w:rPr>
              <w:t>famille,  du</w:t>
            </w:r>
            <w:proofErr w:type="gramEnd"/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 destin commun et du vivre ensemble.</w:t>
            </w:r>
          </w:p>
          <w:p w14:paraId="06DEB190" w14:textId="2C62B90D" w:rsidR="00D455C7" w:rsidRPr="00A04124" w:rsidRDefault="00DA50CE" w:rsidP="003D0B1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Si en 2019, le fils rouge de l’atelier était </w:t>
            </w:r>
            <w:r w:rsidR="00D455C7" w:rsidRPr="00A04124">
              <w:rPr>
                <w:rFonts w:asciiTheme="minorHAnsi" w:hAnsiTheme="minorHAnsi"/>
                <w:sz w:val="24"/>
                <w:szCs w:val="24"/>
              </w:rPr>
              <w:t xml:space="preserve">d’une part,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D455C7" w:rsidRPr="00A04124">
              <w:rPr>
                <w:rFonts w:asciiTheme="minorHAnsi" w:hAnsiTheme="minorHAnsi"/>
                <w:sz w:val="24"/>
                <w:szCs w:val="24"/>
              </w:rPr>
              <w:t xml:space="preserve">faire plus ample </w:t>
            </w:r>
            <w:proofErr w:type="gramStart"/>
            <w:r w:rsidR="00D455C7" w:rsidRPr="00A04124">
              <w:rPr>
                <w:rFonts w:asciiTheme="minorHAnsi" w:hAnsiTheme="minorHAnsi"/>
                <w:sz w:val="24"/>
                <w:szCs w:val="24"/>
              </w:rPr>
              <w:t xml:space="preserve">connaissance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avec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les plantes </w:t>
            </w:r>
            <w:r w:rsidR="00D455C7" w:rsidRPr="00A04124">
              <w:rPr>
                <w:rFonts w:asciiTheme="minorHAnsi" w:hAnsiTheme="minorHAnsi"/>
                <w:sz w:val="24"/>
                <w:szCs w:val="24"/>
              </w:rPr>
              <w:t xml:space="preserve">médicinales et succulentes  et d’autre part, d’aller à la découverte des cultures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455C7" w:rsidRPr="00A04124">
              <w:rPr>
                <w:rFonts w:asciiTheme="minorHAnsi" w:hAnsiTheme="minorHAnsi"/>
                <w:sz w:val="24"/>
                <w:szCs w:val="24"/>
              </w:rPr>
              <w:t xml:space="preserve">des autres communautés du pays,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en 2020,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les élèves de l’atelier travailleront plus particulièrement sur </w:t>
            </w: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les jeux traditionnels</w:t>
            </w:r>
            <w:r w:rsidR="00D455C7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 kanak.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ils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apprendront notamment à fabriquer des balles de base-ball avec des feuilles de végétaux, ils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remettont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455C7" w:rsidRPr="00A04124">
              <w:rPr>
                <w:rFonts w:asciiTheme="minorHAnsi" w:hAnsiTheme="minorHAnsi"/>
                <w:sz w:val="24"/>
                <w:szCs w:val="24"/>
              </w:rPr>
              <w:t xml:space="preserve">aussi, 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au goût du jour des jeux ancestraux. </w:t>
            </w:r>
          </w:p>
          <w:p w14:paraId="37C1EA9B" w14:textId="46CB5992" w:rsidR="009E64FD" w:rsidRPr="00A04124" w:rsidRDefault="00D455C7" w:rsidP="00B52D0C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Durant une semaine, les élèves de l’atelier iront aussi découvrir la culture et les us et coutumes kanak de Maré.   Ils seront accueillis par les élèves des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collèges  de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Tadine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et de la Roche qu’ils ont accueillis chez eux,  à Bourail, du 29 juillet au 02 août 2019. A Maré, ils seront hébergés dans les familles mélanésiennes de l’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ïle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. De quoi faire connaissance avec les us et coutumes de leur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famillle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d’accueil. </w:t>
            </w:r>
            <w:r w:rsidR="00DA50CE"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9E64FD" w:rsidRPr="00A04124" w14:paraId="2D48F566" w14:textId="77777777" w:rsidTr="00010D79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94AFFEC" w14:textId="5E66C57A" w:rsidR="009E64FD" w:rsidRPr="00A04124" w:rsidRDefault="00511E0E" w:rsidP="00B66BA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4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66BA4" w:rsidRPr="00A04124">
              <w:rPr>
                <w:rFonts w:asciiTheme="minorHAnsi" w:hAnsiTheme="minorHAnsi"/>
                <w:b/>
                <w:sz w:val="24"/>
                <w:szCs w:val="24"/>
              </w:rPr>
              <w:t xml:space="preserve">– Critères d’évaluation, indicateurs 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</w:rPr>
              <w:t>de réussite :</w:t>
            </w:r>
          </w:p>
        </w:tc>
      </w:tr>
      <w:tr w:rsidR="009E64FD" w:rsidRPr="00A04124" w14:paraId="3D4F7E5E" w14:textId="77777777" w:rsidTr="00010D79">
        <w:tc>
          <w:tcPr>
            <w:tcW w:w="10350" w:type="dxa"/>
            <w:gridSpan w:val="6"/>
            <w:tcBorders>
              <w:top w:val="nil"/>
            </w:tcBorders>
          </w:tcPr>
          <w:p w14:paraId="198D54AF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Nombre de sorties effectuées et nombre d’intervenants rencontrés.</w:t>
            </w:r>
          </w:p>
          <w:p w14:paraId="5DF675EB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Participation et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motivation  des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élèves dans les actions engagées. Nombre de questions posées. Prise d’initiatives des jeunes engagés dans le projet.</w:t>
            </w:r>
          </w:p>
          <w:p w14:paraId="5316A8FD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Changement des mentalités et de comportement des élèves. Amélioration du climat au sein de l’établissement. Baisse des 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incivilités  du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nombre de bagarre. </w:t>
            </w:r>
          </w:p>
          <w:p w14:paraId="275DCBFA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Nombre de parents participant au projet.</w:t>
            </w:r>
          </w:p>
          <w:p w14:paraId="5466F608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Comportement des élèves concernés vis-à-vis d’autrui, des professeurs, etc.  </w:t>
            </w:r>
          </w:p>
          <w:p w14:paraId="0CF9844D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Restitution des travaux. </w:t>
            </w:r>
          </w:p>
          <w:p w14:paraId="5B5526F5" w14:textId="77777777" w:rsidR="00010D79" w:rsidRPr="00A04124" w:rsidRDefault="00010D79" w:rsidP="00010D79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Résultats scolaires et comportement (</w:t>
            </w:r>
            <w:proofErr w:type="gramStart"/>
            <w:r w:rsidRPr="00A04124">
              <w:rPr>
                <w:rFonts w:asciiTheme="minorHAnsi" w:hAnsiTheme="minorHAnsi"/>
                <w:sz w:val="24"/>
                <w:szCs w:val="24"/>
              </w:rPr>
              <w:t>nombre  de</w:t>
            </w:r>
            <w:proofErr w:type="gram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sanctions données, taux d’absentéisme, des participants, manquements à la discipline). </w:t>
            </w:r>
          </w:p>
          <w:p w14:paraId="58C94B02" w14:textId="0D67BE1C" w:rsidR="00F83931" w:rsidRPr="00A04124" w:rsidRDefault="00010D79" w:rsidP="00010D7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Resttitution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du travail de l’atelier lors de la fête de l’école calédonienne au centre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Tjibaou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9E64FD" w:rsidRPr="00A04124" w14:paraId="1F433689" w14:textId="77777777" w:rsidTr="00010D79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B28B" w14:textId="2F15790B" w:rsidR="009E64FD" w:rsidRPr="00A04124" w:rsidRDefault="00511E0E">
            <w:pPr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5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-</w:t>
            </w:r>
            <w:r w:rsidR="004774EF" w:rsidRPr="00A0412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14:paraId="48614288" w14:textId="77777777" w:rsidR="009E64FD" w:rsidRPr="00A04124" w:rsidRDefault="009E64F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2068" w:type="dxa"/>
          </w:tcPr>
          <w:p w14:paraId="5642328C" w14:textId="77777777" w:rsidR="009E64FD" w:rsidRPr="00A04124" w:rsidRDefault="009E64F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1676" w:type="dxa"/>
          </w:tcPr>
          <w:p w14:paraId="449A0837" w14:textId="77777777" w:rsidR="009E64FD" w:rsidRPr="00A04124" w:rsidRDefault="00D437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Grade</w:t>
            </w:r>
          </w:p>
        </w:tc>
        <w:tc>
          <w:tcPr>
            <w:tcW w:w="2200" w:type="dxa"/>
            <w:gridSpan w:val="2"/>
          </w:tcPr>
          <w:p w14:paraId="6439FA46" w14:textId="77777777" w:rsidR="009E64FD" w:rsidRPr="00A04124" w:rsidRDefault="004D417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Discipline</w:t>
            </w:r>
          </w:p>
        </w:tc>
      </w:tr>
      <w:tr w:rsidR="009E64FD" w:rsidRPr="00A04124" w14:paraId="57BA5B78" w14:textId="77777777" w:rsidTr="00010D79">
        <w:tc>
          <w:tcPr>
            <w:tcW w:w="2338" w:type="dxa"/>
            <w:tcBorders>
              <w:top w:val="nil"/>
            </w:tcBorders>
          </w:tcPr>
          <w:p w14:paraId="708FD6D8" w14:textId="77777777" w:rsidR="009E64FD" w:rsidRPr="00A04124" w:rsidRDefault="009E64FD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Pilote de l’action</w:t>
            </w:r>
          </w:p>
        </w:tc>
        <w:tc>
          <w:tcPr>
            <w:tcW w:w="2068" w:type="dxa"/>
          </w:tcPr>
          <w:p w14:paraId="59321BB2" w14:textId="513D99C5" w:rsidR="009E64FD" w:rsidRPr="00A04124" w:rsidRDefault="00010D79" w:rsidP="00010D7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BEGE</w:t>
            </w:r>
          </w:p>
        </w:tc>
        <w:tc>
          <w:tcPr>
            <w:tcW w:w="2068" w:type="dxa"/>
          </w:tcPr>
          <w:p w14:paraId="725D65FC" w14:textId="2F9C380E" w:rsidR="009E64FD" w:rsidRPr="00A04124" w:rsidRDefault="00010D79" w:rsidP="00010D7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JEANNY- CLAUDE</w:t>
            </w:r>
          </w:p>
        </w:tc>
        <w:tc>
          <w:tcPr>
            <w:tcW w:w="1676" w:type="dxa"/>
          </w:tcPr>
          <w:p w14:paraId="041E6B16" w14:textId="0DEFE0F5" w:rsidR="009E64FD" w:rsidRPr="00A04124" w:rsidRDefault="00010D79" w:rsidP="00010D7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CPE</w:t>
            </w:r>
          </w:p>
        </w:tc>
        <w:tc>
          <w:tcPr>
            <w:tcW w:w="2200" w:type="dxa"/>
            <w:gridSpan w:val="2"/>
          </w:tcPr>
          <w:p w14:paraId="1DFEEC42" w14:textId="4695CD40" w:rsidR="009E64FD" w:rsidRPr="00A04124" w:rsidRDefault="00010D79" w:rsidP="00010D7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04124">
              <w:rPr>
                <w:rFonts w:asciiTheme="minorHAnsi" w:hAnsiTheme="minorHAnsi"/>
                <w:b/>
                <w:sz w:val="24"/>
                <w:szCs w:val="24"/>
              </w:rPr>
              <w:t>Vie scolaire</w:t>
            </w:r>
          </w:p>
        </w:tc>
      </w:tr>
      <w:tr w:rsidR="009E64FD" w:rsidRPr="00A04124" w14:paraId="2378DAA6" w14:textId="77777777" w:rsidTr="00010D79">
        <w:tc>
          <w:tcPr>
            <w:tcW w:w="2338" w:type="dxa"/>
          </w:tcPr>
          <w:p w14:paraId="2353ECFA" w14:textId="77777777" w:rsidR="009E64FD" w:rsidRPr="00A04124" w:rsidRDefault="009E64FD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Autres participants</w:t>
            </w:r>
          </w:p>
          <w:p w14:paraId="65B6F940" w14:textId="4B772461" w:rsidR="009E64FD" w:rsidRPr="00A04124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010D79" w:rsidRPr="00A04124">
              <w:rPr>
                <w:rFonts w:asciiTheme="minorHAnsi" w:hAnsiTheme="minorHAnsi"/>
                <w:sz w:val="24"/>
                <w:szCs w:val="24"/>
              </w:rPr>
              <w:t>Accompagnatrice d’</w:t>
            </w:r>
            <w:proofErr w:type="spellStart"/>
            <w:r w:rsidR="00010D79" w:rsidRPr="00A04124">
              <w:rPr>
                <w:rFonts w:asciiTheme="minorHAnsi" w:hAnsiTheme="minorHAnsi"/>
                <w:sz w:val="24"/>
                <w:szCs w:val="24"/>
              </w:rPr>
              <w:t>education</w:t>
            </w:r>
            <w:proofErr w:type="spellEnd"/>
            <w:r w:rsidR="00010D79" w:rsidRPr="00A0412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7850290" w14:textId="1DD8CD1E" w:rsidR="009E64FD" w:rsidRPr="00A04124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010D79" w:rsidRPr="00A04124">
              <w:rPr>
                <w:rFonts w:asciiTheme="minorHAnsi" w:hAnsiTheme="minorHAnsi"/>
                <w:sz w:val="24"/>
                <w:szCs w:val="24"/>
              </w:rPr>
              <w:t>Adjointe d’éducation</w:t>
            </w:r>
          </w:p>
          <w:p w14:paraId="04C020E3" w14:textId="4A9A0BCD" w:rsidR="009E64FD" w:rsidRPr="00A04124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010D79" w:rsidRPr="00A04124">
              <w:rPr>
                <w:rFonts w:asciiTheme="minorHAnsi" w:hAnsiTheme="minorHAnsi"/>
                <w:sz w:val="24"/>
                <w:szCs w:val="24"/>
              </w:rPr>
              <w:t>Adjoint d’éducation internat provincial</w:t>
            </w:r>
          </w:p>
          <w:p w14:paraId="59BA5E62" w14:textId="4ED63609" w:rsidR="009E64FD" w:rsidRPr="00A04124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010D79" w:rsidRPr="00A04124">
              <w:rPr>
                <w:rFonts w:asciiTheme="minorHAnsi" w:hAnsiTheme="minorHAnsi"/>
                <w:sz w:val="24"/>
                <w:szCs w:val="24"/>
              </w:rPr>
              <w:t>Professeur culture Kanak</w:t>
            </w:r>
          </w:p>
          <w:p w14:paraId="5DC3BF19" w14:textId="77777777" w:rsidR="009E64FD" w:rsidRPr="00A04124" w:rsidRDefault="009E64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98718B2" w14:textId="77777777" w:rsidR="009E64FD" w:rsidRPr="00A04124" w:rsidRDefault="009E64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ECB2CC0" w14:textId="1513A01E" w:rsidR="009E64FD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BOAWE</w:t>
            </w:r>
          </w:p>
          <w:p w14:paraId="2141BE2F" w14:textId="77777777" w:rsidR="00010D79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  <w:p w14:paraId="109CD513" w14:textId="4993CDCE" w:rsidR="009E64FD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BODEOUAROU</w:t>
            </w:r>
          </w:p>
          <w:p w14:paraId="6BA6FC10" w14:textId="72D5C54D" w:rsidR="009E64FD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WILD </w:t>
            </w:r>
          </w:p>
          <w:p w14:paraId="0020DA91" w14:textId="1BE9C3EB" w:rsidR="009E64FD" w:rsidRPr="00A04124" w:rsidRDefault="00010D79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AÏ</w:t>
            </w:r>
          </w:p>
        </w:tc>
        <w:tc>
          <w:tcPr>
            <w:tcW w:w="2068" w:type="dxa"/>
          </w:tcPr>
          <w:p w14:paraId="076D9DC2" w14:textId="77777777" w:rsidR="009E64FD" w:rsidRPr="00A04124" w:rsidRDefault="009E64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349CDFC" w14:textId="65D94F5B" w:rsidR="009E64FD" w:rsidRPr="00A04124" w:rsidRDefault="00010D79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Marellia</w:t>
            </w:r>
            <w:proofErr w:type="spellEnd"/>
          </w:p>
          <w:p w14:paraId="18B4E276" w14:textId="77777777" w:rsidR="00010D79" w:rsidRPr="00A04124" w:rsidRDefault="00010D79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  <w:p w14:paraId="0D325912" w14:textId="4E9801B1" w:rsidR="009E64FD" w:rsidRPr="00A04124" w:rsidRDefault="00010D79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Eugénie</w:t>
            </w:r>
          </w:p>
          <w:p w14:paraId="5F8FCD7C" w14:textId="0E66633C" w:rsidR="009E64FD" w:rsidRPr="00A04124" w:rsidRDefault="00010D79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William </w:t>
            </w:r>
          </w:p>
          <w:p w14:paraId="2ACAEA3F" w14:textId="63F90CE4" w:rsidR="009E64FD" w:rsidRPr="00A04124" w:rsidRDefault="00010D79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Raymond</w:t>
            </w:r>
          </w:p>
        </w:tc>
        <w:tc>
          <w:tcPr>
            <w:tcW w:w="1676" w:type="dxa"/>
          </w:tcPr>
          <w:p w14:paraId="45894D1A" w14:textId="77777777" w:rsidR="009E64FD" w:rsidRPr="00A04124" w:rsidRDefault="009E64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F5FAC99" w14:textId="0782BE0C" w:rsidR="009E64FD" w:rsidRPr="00A04124" w:rsidRDefault="00010D79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Accompagnatrice </w:t>
            </w:r>
          </w:p>
          <w:p w14:paraId="6E608123" w14:textId="77777777" w:rsidR="00010D79" w:rsidRPr="00A04124" w:rsidRDefault="00010D79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  <w:p w14:paraId="7B989C3E" w14:textId="0DFC4F48" w:rsidR="009E64FD" w:rsidRPr="00A04124" w:rsidRDefault="00010D79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AE </w:t>
            </w:r>
          </w:p>
          <w:p w14:paraId="28AEFD65" w14:textId="14D9FDD5" w:rsidR="009E64FD" w:rsidRPr="00A04124" w:rsidRDefault="00010D79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AE P. Sud</w:t>
            </w:r>
          </w:p>
          <w:p w14:paraId="5C3BE3BB" w14:textId="64706576" w:rsidR="009E64FD" w:rsidRPr="00A04124" w:rsidRDefault="00010D79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PLP</w:t>
            </w:r>
          </w:p>
        </w:tc>
        <w:tc>
          <w:tcPr>
            <w:tcW w:w="2200" w:type="dxa"/>
            <w:gridSpan w:val="2"/>
          </w:tcPr>
          <w:p w14:paraId="009C6730" w14:textId="77777777" w:rsidR="009E64FD" w:rsidRPr="00A04124" w:rsidRDefault="009E64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B2F3F48" w14:textId="4346BF47" w:rsidR="009E64FD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Vie scolaire</w:t>
            </w:r>
          </w:p>
          <w:p w14:paraId="0747055E" w14:textId="77777777" w:rsidR="00010D79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  <w:p w14:paraId="1C804561" w14:textId="1F9A8031" w:rsidR="009E64FD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Vie scolaire</w:t>
            </w:r>
          </w:p>
          <w:p w14:paraId="7FF24A4D" w14:textId="617676B5" w:rsidR="009E64FD" w:rsidRPr="00A04124" w:rsidRDefault="00010D79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Internat provincial </w:t>
            </w:r>
          </w:p>
          <w:p w14:paraId="0D196D0A" w14:textId="46F14984" w:rsidR="009E64FD" w:rsidRPr="00A04124" w:rsidRDefault="00010D79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Langue et culture Kanak</w:t>
            </w:r>
          </w:p>
        </w:tc>
      </w:tr>
    </w:tbl>
    <w:p w14:paraId="6E68C6C1" w14:textId="77777777" w:rsidR="009E64FD" w:rsidRPr="00A04124" w:rsidRDefault="009E64FD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A04124" w14:paraId="67784B03" w14:textId="77777777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449DB9A6" w14:textId="79DDDCC9" w:rsidR="009E64FD" w:rsidRPr="00A04124" w:rsidRDefault="00511E0E" w:rsidP="004774EF">
            <w:pPr>
              <w:pStyle w:val="Titre2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4774EF" w:rsidRPr="00A04124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9E64FD" w:rsidRPr="00A04124">
              <w:rPr>
                <w:rFonts w:asciiTheme="minorHAnsi" w:hAnsiTheme="minorHAnsi"/>
                <w:sz w:val="24"/>
                <w:szCs w:val="24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1E7DF8E" w14:textId="77777777" w:rsidR="009E64FD" w:rsidRPr="00A04124" w:rsidRDefault="009E64FD">
            <w:pPr>
              <w:pStyle w:val="Titre2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Nombre</w:t>
            </w:r>
          </w:p>
        </w:tc>
      </w:tr>
      <w:tr w:rsidR="009E64FD" w:rsidRPr="00A04124" w14:paraId="4699A624" w14:textId="77777777" w:rsidTr="00B52D0C">
        <w:trPr>
          <w:trHeight w:val="521"/>
        </w:trPr>
        <w:tc>
          <w:tcPr>
            <w:tcW w:w="5172" w:type="dxa"/>
            <w:tcBorders>
              <w:top w:val="nil"/>
            </w:tcBorders>
          </w:tcPr>
          <w:p w14:paraId="485BCA33" w14:textId="2DE957BE" w:rsidR="009E64FD" w:rsidRPr="00A04124" w:rsidRDefault="00981772" w:rsidP="00B52D0C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Tous les niveaux </w:t>
            </w:r>
          </w:p>
        </w:tc>
        <w:tc>
          <w:tcPr>
            <w:tcW w:w="5172" w:type="dxa"/>
            <w:tcBorders>
              <w:top w:val="nil"/>
            </w:tcBorders>
          </w:tcPr>
          <w:p w14:paraId="0468E158" w14:textId="4C88504E" w:rsidR="00981772" w:rsidRPr="00A04124" w:rsidRDefault="00981772">
            <w:pPr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</w:tr>
    </w:tbl>
    <w:p w14:paraId="0F877D43" w14:textId="65AD1136" w:rsidR="009E64FD" w:rsidRDefault="009E64FD">
      <w:pPr>
        <w:rPr>
          <w:rFonts w:asciiTheme="minorHAnsi" w:hAnsiTheme="minorHAnsi"/>
          <w:sz w:val="24"/>
          <w:szCs w:val="24"/>
        </w:rPr>
      </w:pPr>
    </w:p>
    <w:p w14:paraId="3B7A26A0" w14:textId="77777777" w:rsidR="00B52D0C" w:rsidRPr="00A04124" w:rsidRDefault="00B52D0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A04124" w14:paraId="30693C02" w14:textId="77777777">
        <w:tc>
          <w:tcPr>
            <w:tcW w:w="10344" w:type="dxa"/>
          </w:tcPr>
          <w:p w14:paraId="5BDD2012" w14:textId="17C8394A" w:rsidR="009E64FD" w:rsidRPr="00A04124" w:rsidRDefault="00511E0E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7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 -</w:t>
            </w:r>
            <w:r w:rsidR="009E64FD" w:rsidRPr="00A04124">
              <w:rPr>
                <w:rFonts w:asciiTheme="minorHAnsi" w:hAnsiTheme="minorHAnsi"/>
                <w:sz w:val="24"/>
                <w:szCs w:val="24"/>
                <w:highlight w:val="lightGray"/>
              </w:rPr>
              <w:t xml:space="preserve"> 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Partenaires extérieurs</w:t>
            </w:r>
            <w:r w:rsidR="007B011D" w:rsidRPr="00A0412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 sollicités</w:t>
            </w:r>
            <w:r w:rsidR="009E64FD" w:rsidRPr="00A04124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  <w:p w14:paraId="4D243D3D" w14:textId="77777777" w:rsidR="009E64FD" w:rsidRPr="00A04124" w:rsidRDefault="009E64FD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(</w:t>
            </w:r>
            <w:r w:rsidR="006218E6" w:rsidRPr="00A04124">
              <w:rPr>
                <w:rFonts w:asciiTheme="minorHAnsi" w:hAnsiTheme="minorHAnsi"/>
                <w:sz w:val="24"/>
                <w:szCs w:val="24"/>
              </w:rPr>
              <w:t>Nombre</w:t>
            </w:r>
            <w:r w:rsidRPr="00A04124">
              <w:rPr>
                <w:rFonts w:asciiTheme="minorHAnsi" w:hAnsiTheme="minorHAnsi"/>
                <w:sz w:val="24"/>
                <w:szCs w:val="24"/>
              </w:rPr>
              <w:t xml:space="preserve"> et qualité)</w:t>
            </w:r>
          </w:p>
          <w:p w14:paraId="722FD773" w14:textId="354CEE78" w:rsidR="004A12D3" w:rsidRPr="00A04124" w:rsidRDefault="00D7001B" w:rsidP="00B52D0C">
            <w:pPr>
              <w:spacing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 xml:space="preserve">Autorités coutumières de l’aire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Ajie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aro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, Conseil du district de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Ny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, Artistes, APE, FSE, SEM et GDPL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Mwé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Ara, Sénat coutumier, Conservatoire de l’igname,  Mairies, Province SUD, Province des îles, Gouvernement de la Nouvelle-Calédonie, Comité d’Animation Locale de Bourail(CALB),  transport ARC EN CIEL, Vice Rectorat, ADCK, Académie des langues kanak, les mamans des tribus, Centre  culturel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Tjibaou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,  coutumiers de Bourail, collèges de </w:t>
            </w:r>
            <w:proofErr w:type="spellStart"/>
            <w:r w:rsidRPr="00A04124">
              <w:rPr>
                <w:rFonts w:asciiTheme="minorHAnsi" w:hAnsiTheme="minorHAnsi"/>
                <w:sz w:val="24"/>
                <w:szCs w:val="24"/>
              </w:rPr>
              <w:t>Tadine</w:t>
            </w:r>
            <w:proofErr w:type="spellEnd"/>
            <w:r w:rsidRPr="00A04124">
              <w:rPr>
                <w:rFonts w:asciiTheme="minorHAnsi" w:hAnsiTheme="minorHAnsi"/>
                <w:sz w:val="24"/>
                <w:szCs w:val="24"/>
              </w:rPr>
              <w:t xml:space="preserve"> et la Roche, Centre culturel </w:t>
            </w:r>
            <w:r w:rsidR="005F4B2D" w:rsidRPr="00A04124">
              <w:rPr>
                <w:rFonts w:asciiTheme="minorHAnsi" w:hAnsiTheme="minorHAnsi"/>
                <w:sz w:val="24"/>
                <w:szCs w:val="24"/>
              </w:rPr>
              <w:t xml:space="preserve">POMEMIE de Koné, Association POA BOA VI THILA, Association des femmes de KATRICOIN, </w:t>
            </w:r>
            <w:r w:rsidR="006B17AD" w:rsidRPr="00A04124">
              <w:rPr>
                <w:rFonts w:asciiTheme="minorHAnsi" w:hAnsiTheme="minorHAnsi"/>
                <w:sz w:val="24"/>
                <w:szCs w:val="24"/>
              </w:rPr>
              <w:t xml:space="preserve">TANI CONSULTANT (Bernard SUPRIN), Les jardins délicieux de </w:t>
            </w:r>
            <w:proofErr w:type="spellStart"/>
            <w:r w:rsidR="006B17AD" w:rsidRPr="00A04124">
              <w:rPr>
                <w:rFonts w:asciiTheme="minorHAnsi" w:hAnsiTheme="minorHAnsi"/>
                <w:sz w:val="24"/>
                <w:szCs w:val="24"/>
              </w:rPr>
              <w:t>Moindou</w:t>
            </w:r>
            <w:proofErr w:type="spellEnd"/>
            <w:r w:rsidR="006B17AD" w:rsidRPr="00A04124"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</w:tc>
      </w:tr>
      <w:tr w:rsidR="009E64FD" w:rsidRPr="00A04124" w14:paraId="57041E2E" w14:textId="77777777">
        <w:tc>
          <w:tcPr>
            <w:tcW w:w="10344" w:type="dxa"/>
          </w:tcPr>
          <w:p w14:paraId="502FDB7D" w14:textId="1FC1F9CE" w:rsidR="009E64FD" w:rsidRPr="00A04124" w:rsidRDefault="009E64FD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A04124">
              <w:rPr>
                <w:rFonts w:asciiTheme="minorHAnsi" w:hAnsiTheme="minorHAnsi"/>
                <w:sz w:val="24"/>
                <w:szCs w:val="24"/>
              </w:rPr>
              <w:t>Durée prévue de l’action ou fréquence :</w:t>
            </w:r>
            <w:r w:rsidR="00991D38" w:rsidRPr="00A04124">
              <w:rPr>
                <w:rFonts w:asciiTheme="minorHAnsi" w:hAnsiTheme="minorHAnsi"/>
                <w:sz w:val="24"/>
                <w:szCs w:val="24"/>
              </w:rPr>
              <w:t xml:space="preserve"> Les </w:t>
            </w:r>
            <w:proofErr w:type="spellStart"/>
            <w:r w:rsidR="00991D38" w:rsidRPr="00A04124">
              <w:rPr>
                <w:rFonts w:asciiTheme="minorHAnsi" w:hAnsiTheme="minorHAnsi"/>
                <w:sz w:val="24"/>
                <w:szCs w:val="24"/>
              </w:rPr>
              <w:t>mecredis</w:t>
            </w:r>
            <w:proofErr w:type="spellEnd"/>
            <w:r w:rsidR="00991D38" w:rsidRPr="00A04124">
              <w:rPr>
                <w:rFonts w:asciiTheme="minorHAnsi" w:hAnsiTheme="minorHAnsi"/>
                <w:sz w:val="24"/>
                <w:szCs w:val="24"/>
              </w:rPr>
              <w:t xml:space="preserve"> deux fois par mois, pause méridienne (mardi et jeudi) de mars à octobre ; </w:t>
            </w:r>
          </w:p>
        </w:tc>
      </w:tr>
    </w:tbl>
    <w:p w14:paraId="1E50C1FC" w14:textId="77777777" w:rsidR="009E64FD" w:rsidRPr="00A04124" w:rsidRDefault="009E64FD">
      <w:pPr>
        <w:rPr>
          <w:rFonts w:asciiTheme="minorHAnsi" w:hAnsiTheme="minorHAnsi"/>
          <w:sz w:val="24"/>
          <w:szCs w:val="24"/>
        </w:rPr>
      </w:pPr>
    </w:p>
    <w:p w14:paraId="4C86AEBD" w14:textId="77777777" w:rsidR="00F0445A" w:rsidRPr="00A04124" w:rsidRDefault="00F0445A" w:rsidP="00193F68">
      <w:pPr>
        <w:spacing w:before="120" w:after="120"/>
        <w:rPr>
          <w:rFonts w:asciiTheme="minorHAnsi" w:hAnsiTheme="minorHAnsi"/>
          <w:sz w:val="24"/>
          <w:szCs w:val="24"/>
        </w:rPr>
      </w:pPr>
      <w:bookmarkStart w:id="1" w:name="_GoBack"/>
      <w:bookmarkEnd w:id="1"/>
    </w:p>
    <w:sectPr w:rsidR="00F0445A" w:rsidRPr="00A04124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727A9" w14:textId="77777777" w:rsidR="00504125" w:rsidRDefault="00504125">
      <w:r>
        <w:separator/>
      </w:r>
    </w:p>
  </w:endnote>
  <w:endnote w:type="continuationSeparator" w:id="0">
    <w:p w14:paraId="307D8822" w14:textId="77777777" w:rsidR="00504125" w:rsidRDefault="0050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862E" w14:textId="606B0397"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F57DC6">
      <w:rPr>
        <w:rStyle w:val="Numrodepage"/>
        <w:noProof/>
      </w:rPr>
      <w:t>4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F57DC6">
      <w:rPr>
        <w:rStyle w:val="Numrodepage"/>
        <w:noProof/>
      </w:rPr>
      <w:t>4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3D2A2" w14:textId="77777777" w:rsidR="00504125" w:rsidRDefault="00504125">
      <w:r>
        <w:separator/>
      </w:r>
    </w:p>
  </w:footnote>
  <w:footnote w:type="continuationSeparator" w:id="0">
    <w:p w14:paraId="61ECD0A9" w14:textId="77777777" w:rsidR="00504125" w:rsidRDefault="0050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5839" w14:textId="77777777"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0BA43425"/>
    <w:multiLevelType w:val="hybridMultilevel"/>
    <w:tmpl w:val="99502D8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156A"/>
    <w:multiLevelType w:val="hybridMultilevel"/>
    <w:tmpl w:val="3DE017E8"/>
    <w:lvl w:ilvl="0" w:tplc="96687DCC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054C9"/>
    <w:rsid w:val="00010D79"/>
    <w:rsid w:val="00031A51"/>
    <w:rsid w:val="00077DBA"/>
    <w:rsid w:val="00081903"/>
    <w:rsid w:val="0009427B"/>
    <w:rsid w:val="00095856"/>
    <w:rsid w:val="00193F68"/>
    <w:rsid w:val="00196B07"/>
    <w:rsid w:val="001A16AF"/>
    <w:rsid w:val="001C311B"/>
    <w:rsid w:val="00215DFB"/>
    <w:rsid w:val="002177DB"/>
    <w:rsid w:val="00237541"/>
    <w:rsid w:val="00252D71"/>
    <w:rsid w:val="002558E9"/>
    <w:rsid w:val="0026178C"/>
    <w:rsid w:val="002C0B27"/>
    <w:rsid w:val="003343A8"/>
    <w:rsid w:val="00355026"/>
    <w:rsid w:val="00384FBF"/>
    <w:rsid w:val="00395BE9"/>
    <w:rsid w:val="003C0DD2"/>
    <w:rsid w:val="003C69A2"/>
    <w:rsid w:val="003D0B15"/>
    <w:rsid w:val="00414A03"/>
    <w:rsid w:val="00420F29"/>
    <w:rsid w:val="004647A8"/>
    <w:rsid w:val="004774EF"/>
    <w:rsid w:val="00493F55"/>
    <w:rsid w:val="004A12D3"/>
    <w:rsid w:val="004C05B9"/>
    <w:rsid w:val="004D417A"/>
    <w:rsid w:val="00504125"/>
    <w:rsid w:val="00511E0E"/>
    <w:rsid w:val="005B2E13"/>
    <w:rsid w:val="005F4B2D"/>
    <w:rsid w:val="006218E6"/>
    <w:rsid w:val="006B17AD"/>
    <w:rsid w:val="006B6177"/>
    <w:rsid w:val="006F14D2"/>
    <w:rsid w:val="007613D4"/>
    <w:rsid w:val="007643E3"/>
    <w:rsid w:val="007A7136"/>
    <w:rsid w:val="007B011D"/>
    <w:rsid w:val="007B032B"/>
    <w:rsid w:val="007B2CBF"/>
    <w:rsid w:val="00817406"/>
    <w:rsid w:val="008739FD"/>
    <w:rsid w:val="00881BEF"/>
    <w:rsid w:val="00905751"/>
    <w:rsid w:val="00942A46"/>
    <w:rsid w:val="00981772"/>
    <w:rsid w:val="00985A81"/>
    <w:rsid w:val="0099074B"/>
    <w:rsid w:val="00991D38"/>
    <w:rsid w:val="009C44D6"/>
    <w:rsid w:val="009E64FD"/>
    <w:rsid w:val="00A04124"/>
    <w:rsid w:val="00A31DFF"/>
    <w:rsid w:val="00A344B9"/>
    <w:rsid w:val="00A70F1E"/>
    <w:rsid w:val="00A9433B"/>
    <w:rsid w:val="00AD7DF0"/>
    <w:rsid w:val="00AE5985"/>
    <w:rsid w:val="00B40ADF"/>
    <w:rsid w:val="00B52D0C"/>
    <w:rsid w:val="00B66BA4"/>
    <w:rsid w:val="00BC7E2D"/>
    <w:rsid w:val="00C0229A"/>
    <w:rsid w:val="00C63CAE"/>
    <w:rsid w:val="00C71E3E"/>
    <w:rsid w:val="00C9558B"/>
    <w:rsid w:val="00CB7543"/>
    <w:rsid w:val="00D05838"/>
    <w:rsid w:val="00D437F1"/>
    <w:rsid w:val="00D455C7"/>
    <w:rsid w:val="00D7001B"/>
    <w:rsid w:val="00D702E9"/>
    <w:rsid w:val="00DA50CE"/>
    <w:rsid w:val="00DB6064"/>
    <w:rsid w:val="00DE1E94"/>
    <w:rsid w:val="00E06084"/>
    <w:rsid w:val="00E5277C"/>
    <w:rsid w:val="00E60C05"/>
    <w:rsid w:val="00E70278"/>
    <w:rsid w:val="00EA50F7"/>
    <w:rsid w:val="00EE1679"/>
    <w:rsid w:val="00F0445A"/>
    <w:rsid w:val="00F57DC6"/>
    <w:rsid w:val="00F83931"/>
    <w:rsid w:val="00FC58B4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D38270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  <w:style w:type="character" w:customStyle="1" w:styleId="TitreCar">
    <w:name w:val="Titre Car"/>
    <w:basedOn w:val="Policepardfaut"/>
    <w:link w:val="Titre"/>
    <w:rsid w:val="00905751"/>
    <w:rPr>
      <w:rFonts w:ascii="Century Schoolbook" w:hAnsi="Century Schoolbook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6</cp:revision>
  <cp:lastPrinted>2019-08-11T19:59:00Z</cp:lastPrinted>
  <dcterms:created xsi:type="dcterms:W3CDTF">2019-08-11T20:01:00Z</dcterms:created>
  <dcterms:modified xsi:type="dcterms:W3CDTF">2019-10-03T04:42:00Z</dcterms:modified>
</cp:coreProperties>
</file>